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93" w:rsidRDefault="00CD5060">
      <w:r>
        <w:rPr>
          <w:noProof/>
          <w:lang w:eastAsia="fr-FR"/>
        </w:rPr>
        <w:drawing>
          <wp:inline distT="0" distB="0" distL="0" distR="0">
            <wp:extent cx="551077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229" cy="82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89" w:rsidRDefault="00237689" w:rsidP="00237689">
      <w:pPr>
        <w:pStyle w:val="Default"/>
        <w:jc w:val="center"/>
        <w:rPr>
          <w:b/>
          <w:bCs/>
        </w:rPr>
      </w:pPr>
      <w:r w:rsidRPr="008D36A2">
        <w:rPr>
          <w:b/>
          <w:bCs/>
        </w:rPr>
        <w:t>Appel à contribution pour le dossier thématique</w:t>
      </w:r>
    </w:p>
    <w:p w:rsidR="00237689" w:rsidRDefault="00237689" w:rsidP="00237689">
      <w:pPr>
        <w:pStyle w:val="Default"/>
        <w:jc w:val="center"/>
        <w:rPr>
          <w:b/>
          <w:bCs/>
        </w:rPr>
      </w:pPr>
    </w:p>
    <w:p w:rsid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689" w:rsidRP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Les technologies du </w:t>
      </w:r>
      <w:r w:rsidRPr="00DB348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care</w:t>
      </w:r>
      <w:r w:rsidRPr="0023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en santé </w:t>
      </w:r>
    </w:p>
    <w:p w:rsid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689" w:rsidRP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onné par</w:t>
      </w:r>
    </w:p>
    <w:p w:rsidR="00237689" w:rsidRP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E6C">
        <w:rPr>
          <w:rFonts w:ascii="Times New Roman" w:hAnsi="Times New Roman" w:cs="Times New Roman"/>
          <w:i/>
          <w:color w:val="000000"/>
          <w:sz w:val="24"/>
          <w:szCs w:val="24"/>
        </w:rPr>
        <w:t>Eric Dagiral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Cerlis, Université de Paris</w:t>
      </w:r>
    </w:p>
    <w:p w:rsidR="00237689" w:rsidRP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E6C">
        <w:rPr>
          <w:rFonts w:ascii="Times New Roman" w:hAnsi="Times New Roman" w:cs="Times New Roman"/>
          <w:i/>
          <w:color w:val="000000"/>
          <w:sz w:val="24"/>
          <w:szCs w:val="24"/>
        </w:rPr>
        <w:t>Benjamin Derbez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Cresppa-CSU, Université Paris 8</w:t>
      </w:r>
    </w:p>
    <w:p w:rsidR="00237689" w:rsidRP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82E6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Ashveen Peerbaye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, Lisis, Université Gustave Eiffel</w:t>
      </w:r>
    </w:p>
    <w:p w:rsidR="00237689" w:rsidRDefault="00237689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E6C">
        <w:rPr>
          <w:rFonts w:ascii="Times New Roman" w:hAnsi="Times New Roman" w:cs="Times New Roman"/>
          <w:i/>
          <w:color w:val="000000"/>
          <w:sz w:val="24"/>
          <w:szCs w:val="24"/>
        </w:rPr>
        <w:t>David Saint Marc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Centre Emile Durkheim, IRTS de Nouvelle Aquitaine</w:t>
      </w:r>
    </w:p>
    <w:p w:rsidR="00C82E6C" w:rsidRPr="00237689" w:rsidRDefault="00C82E6C" w:rsidP="0023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89" w:rsidRPr="008D36A2" w:rsidRDefault="00237689" w:rsidP="00237689">
      <w:pPr>
        <w:pStyle w:val="Default"/>
        <w:jc w:val="center"/>
        <w:rPr>
          <w:b/>
          <w:bCs/>
        </w:rPr>
      </w:pPr>
    </w:p>
    <w:p w:rsidR="00237689" w:rsidRPr="008D36A2" w:rsidRDefault="00237689" w:rsidP="00237689">
      <w:pPr>
        <w:pStyle w:val="Default"/>
        <w:jc w:val="center"/>
        <w:rPr>
          <w:b/>
          <w:bCs/>
        </w:rPr>
      </w:pPr>
    </w:p>
    <w:p w:rsidR="00237689" w:rsidRPr="00237689" w:rsidRDefault="00237689" w:rsidP="0023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« Une anthropologie des soins est-elle possible, qui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fasse pas que répercuter les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oppositions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cure-care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? » (Saillant et Gagnon, 1999). Le souc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de ne pas réduire les sens du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soin à une dichotomie figée entre, d’un côté, le traitement 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omédical ponctuel de la maladie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et, de l’autre, l’attention aux besoins de la personne souffran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dans la durée, s’est exprimé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de multiples manières ces dernières années en anthrop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ologie de la santé. De nombreux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auteurs ont tenté de montrer que la description des pratiq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ues de soin les plus innovantes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conduisait à dépasser l’idée selon laquelle la biomédecine aurait « relativement peu 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voir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avec le soin » (Kleinman et Van der Geest, 2009).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armi eux, certains se sont plus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particulièrement intéressé</w:t>
      </w:r>
      <w:r w:rsidR="00B5184B" w:rsidRPr="00DB348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 au rôle des technologies dans la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lation de soin. A l’encontre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l’idée selon laquelle « le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 était à l’opposé des technologies » (Mol,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Moser, Pols, 2010), ils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ont montré que ces dernières pouvaient être considérées comm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des supports invisibilisés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pratiques de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 (Pols, 2012). En ce sens, la nécessité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s’intéresser à la dimension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matérielle des pratiques sanitaires contemporaines et à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place d’une grande variété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dispositifs techniques – très récents comme bien plus anciens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la relation de soin n’est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plus à démontrer (Puig de la Bellacasa, 2017 ; Buse et al. 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Tantchou, 2018). Si le prisme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des matérialités permet de comprendre de quelles manières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soin, de soi et des autres,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passe « à travers les choses » (Puig de la Bellacasa,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2011), il convient cependant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s’interroger aussi sur la manière dont les innovations technol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ogiques (télémédecine, médecine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génomique, reporting, e-santé,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self-care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etc.) contribuent à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pétuer, renforcer, redistribuer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ou renverser les relations entre les différents acteurs du 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in. Souvent présentés comme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supports d’autonomisation des individus et des collectifs, 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sont-ils pas aussi créateurs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formes d’interdépendance moins visibles ? 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nouveaux objets ou dispositifs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n’occasionnent-ils pas toutes sortes de remaniements dans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 relations de pouvoir entre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soignants et soignés ? En quoi l’irruption d’enjeux technique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scientifiques ou commerciaux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conduit-il, à travers ces technologies, à redéfinir les relation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de soin ? En interrogeant les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relations de soin au prisme des innovations technologiques, l’objectif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 numéro est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mieux comprendre les évolutions contemporaines du travail de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 en santé.</w:t>
      </w:r>
    </w:p>
    <w:p w:rsidR="00237689" w:rsidRP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89" w:rsidRPr="00237689" w:rsidRDefault="00237689" w:rsidP="00B5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Les propositions d’articles devront être </w:t>
      </w:r>
      <w:bookmarkStart w:id="0" w:name="_GoBack"/>
      <w:r w:rsidR="00B5184B" w:rsidRPr="000F7F20">
        <w:rPr>
          <w:rFonts w:ascii="Times New Roman" w:hAnsi="Times New Roman" w:cs="Times New Roman"/>
          <w:color w:val="000000" w:themeColor="text1"/>
          <w:sz w:val="24"/>
          <w:szCs w:val="24"/>
        </w:rPr>
        <w:t>fondées</w:t>
      </w:r>
      <w:r w:rsidRPr="000F7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 </w:t>
      </w:r>
      <w:bookmarkEnd w:id="0"/>
      <w:r w:rsidRPr="00237689">
        <w:rPr>
          <w:rFonts w:ascii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enquêtes empiriques originales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menées sur des terrains variés liés à la santé, la maladie, le vieillissemen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et le handicap, en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France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comme à l’étranger. Elles sont invitées à se situer plus spécifiquement dans l’un (ou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plusieurs) des axes suivants :</w:t>
      </w:r>
    </w:p>
    <w:p w:rsid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89" w:rsidRP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 Technologies du </w:t>
      </w:r>
      <w:r w:rsidRPr="00DB348D">
        <w:rPr>
          <w:rFonts w:ascii="Times New Roman" w:hAnsi="Times New Roman" w:cs="Times New Roman"/>
          <w:b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 autonomie</w:t>
      </w:r>
    </w:p>
    <w:p w:rsidR="00237689" w:rsidRPr="00237689" w:rsidRDefault="00237689" w:rsidP="00B5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A l’ère du numérique et des technologies connectées, de la miniaturisation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nanotechnologies, nombre d’innovations apparaissent comme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 outils souples offrant aux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individus de nouvelles ressources pour mieux vivre 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quotidien, notamment en cas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maladie chronique (Mol, 2009). Que ce soit dans le domaine de l’assistance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 l’autonomie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personnes âgées, des traitements ambulatoires oraux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B" w:rsidRPr="000F7F20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0F7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médecine personnalisée du cancer, ou des outils connectés de </w:t>
      </w:r>
      <w:r w:rsidRPr="000F7F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self-tracking </w:t>
      </w:r>
      <w:r w:rsidRPr="000F7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visée préventive, les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innovations biotechnologiques sont de plus en plus inté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grées à la vie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individus, malades ou non, pour les aider à gérer leur état de santé hors les murs de l’hôpital.</w:t>
      </w:r>
    </w:p>
    <w:p w:rsidR="00237689" w:rsidRPr="00237689" w:rsidRDefault="00237689" w:rsidP="00B5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Souvent ajustés aux personnes et individualisés, ces disposi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tifs visent l’autonomie tout en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produisant de nouvelles médiations ainsi qu’en promouvant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formes de systématisation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l’attention et du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. Les outils de communication en rése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 contemporains, qu’ils soient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propres aux univers médicaux ou génériques et grand pub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lic, permettent également à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collectifs de malades de se créer, de développer des forme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d’auto-support, mais aussi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construire des connaissances afin de susciter une attention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ociale et politique plus grande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(Rabeharisoa, Akrich et Moreira, 2014). Comment ces nouvea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ux instruments bouleversent-ils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les frontières entre professionnels et profanes, modifient-ils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 mandats des spécialistes et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créent-il de nouveaux espaces de choix dont les malades peuve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se saisir ? Quelles sont les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modalités </w:t>
      </w:r>
      <w:r w:rsidR="00B5184B" w:rsidRPr="00DB348D">
        <w:rPr>
          <w:rFonts w:ascii="Times New Roman" w:hAnsi="Times New Roman" w:cs="Times New Roman"/>
          <w:color w:val="000000" w:themeColor="text1"/>
          <w:sz w:val="24"/>
          <w:szCs w:val="24"/>
        </w:rPr>
        <w:t>actuelles comme</w:t>
      </w:r>
      <w:r w:rsidRPr="00DB3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émergentes </w:t>
      </w:r>
      <w:r w:rsidR="00B5184B" w:rsidRPr="00DB348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B3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cette pluralité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formes du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y compris à </w:t>
      </w:r>
      <w:r w:rsidR="00B5184B">
        <w:rPr>
          <w:rFonts w:ascii="Times New Roman" w:hAnsi="Times New Roman" w:cs="Times New Roman"/>
          <w:color w:val="000000"/>
          <w:sz w:val="24"/>
          <w:szCs w:val="24"/>
        </w:rPr>
        <w:t>distance 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89" w:rsidRP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 Les ambivalences du </w:t>
      </w:r>
      <w:r w:rsidRPr="00DB348D">
        <w:rPr>
          <w:rFonts w:ascii="Times New Roman" w:hAnsi="Times New Roman" w:cs="Times New Roman"/>
          <w:b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technologique</w:t>
      </w:r>
    </w:p>
    <w:p w:rsidR="00237689" w:rsidRP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Ces modes de « surveillance » et de « sous-veillance », au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lus proche et/ou à distance, se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déclinent sur le mode de l’automatisation. De plus en 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de travaux rappellent que la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sollicitude du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que ce soit pour les enfants ou les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sonnes âgées par exemple, n’est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pas réductible à une forme d’attention angélique et abstr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aite – « veiller sur », même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manière bienveillante, c’est aussi « surveiller » (Vozari,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12). De même, prendre soin peut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impliquer une « distance » humaine tout autant qu’une « prox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imité des technologies » (Pols,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2012). La relation d’aide « bien-traitante » peut être comp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atible avec certaines formes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« contrainte » (Hennion et Vidal-Naquet, 2015). Comment dé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signer et comprendre ces formes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 paradoxal (Derbez, 2018) ? En quoi les inté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rêts économiques des acteurs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l’innovation technologique peuvent-ils parfois avancer de concert avec des préoccup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ations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nature éthique, liées à la personnalisation des soins, ou politique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en lien avec l’efficience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systèmes de santé et la normalisation des comportements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Comment s’articulent, du côté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des concepteurs des technologies, les dispositifs issus 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mondes de la médecine et ceux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portés par les acteurs du numérique et des biotechnologies ?</w:t>
      </w:r>
    </w:p>
    <w:p w:rsid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89" w:rsidRP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– Travail d’équipement et </w:t>
      </w:r>
      <w:r w:rsidRPr="00DB348D">
        <w:rPr>
          <w:rFonts w:ascii="Times New Roman" w:hAnsi="Times New Roman" w:cs="Times New Roman"/>
          <w:b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envers les technologies de soin</w:t>
      </w:r>
    </w:p>
    <w:p w:rsidR="00237689" w:rsidRPr="00237689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Si les technologies constituent des supports permettant de «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maintenir, perpétuer et réparer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notre ‘monde’ » (Tronto, 2009), elles y parviennent la plupar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du temps au prix d’un travail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complexe visant à les rendre ajustées à des situations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oujours locales et spécifiques. 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Comment cette mise en adéquation des technologies aux contextes s’effectue-t-elle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notamment à travers du travail d’équipement (Vinck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, 2009) ? La multiplication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technologies d’enregistrement et de suivi requiert un souci 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et un travail souvent invisible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d’appropriation – pour régler, paramétrer, entretenir, décoder, transmettre… – i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nhérent à toute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possibilité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 d’usage. Comment les « scripts 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» qu’incorporent les 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technologies sont-ils performés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voire déjoués en situation par les usagers, et avec quelles conséquences ? Comment les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différentes interventions autour des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lastRenderedPageBreak/>
        <w:t>technologies sont-elle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s organisées, et le cas échéant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invisibilisées, afin de rendre possibles des activités de soin ? C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e travail intense et continu de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maintenance (Denis et Pontille, 2015), que requièrent les tec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hnologies du </w:t>
      </w:r>
      <w:r w:rsidR="00C82E6C" w:rsidRPr="00DB348D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, confère-t-il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une forme de pouvoir à de nouveaux acteurs dans la relation 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de soin et est-elle susceptible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fournir de nouvelles prises pour les malades et leurs proches dans cette relation ?</w:t>
      </w:r>
    </w:p>
    <w:p w:rsidR="00C82E6C" w:rsidRDefault="00C82E6C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E6C" w:rsidRDefault="00C82E6C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689" w:rsidRDefault="00237689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Modalités de soumission et calendrier</w:t>
      </w:r>
    </w:p>
    <w:p w:rsidR="00C82E6C" w:rsidRPr="00C82E6C" w:rsidRDefault="00C82E6C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689" w:rsidRPr="00237689" w:rsidRDefault="00237689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Les propositions de contribution comprendront un titre et un résumé de 500 mots maximum.</w:t>
      </w:r>
    </w:p>
    <w:p w:rsidR="00237689" w:rsidRPr="00237689" w:rsidRDefault="00237689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Elles devront être envoyées aux coordinateurs du numéro avant le </w:t>
      </w:r>
      <w:r w:rsidRPr="00C82E6C">
        <w:rPr>
          <w:rFonts w:ascii="Times New Roman" w:hAnsi="Times New Roman" w:cs="Times New Roman"/>
          <w:b/>
          <w:color w:val="000000"/>
          <w:sz w:val="24"/>
          <w:szCs w:val="24"/>
        </w:rPr>
        <w:t>1er mars 2021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 aux adresses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suivantes :</w:t>
      </w:r>
    </w:p>
    <w:p w:rsidR="00237689" w:rsidRDefault="000F7F20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hyperlink r:id="rId6" w:history="1">
        <w:r w:rsidR="00C77CCA" w:rsidRPr="00AF2CF7">
          <w:rPr>
            <w:rStyle w:val="Lienhypertexte"/>
            <w:rFonts w:ascii="Times New Roman" w:hAnsi="Times New Roman" w:cs="Times New Roman"/>
            <w:sz w:val="24"/>
            <w:szCs w:val="24"/>
          </w:rPr>
          <w:t>eric.dagiral@parisdescartes.fr</w:t>
        </w:r>
      </w:hyperlink>
    </w:p>
    <w:p w:rsidR="00237689" w:rsidRDefault="000F7F20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hyperlink r:id="rId7" w:history="1">
        <w:r w:rsidR="00C77CCA" w:rsidRPr="00AF2CF7">
          <w:rPr>
            <w:rStyle w:val="Lienhypertexte"/>
            <w:rFonts w:ascii="Times New Roman" w:hAnsi="Times New Roman" w:cs="Times New Roman"/>
            <w:sz w:val="24"/>
            <w:szCs w:val="24"/>
          </w:rPr>
          <w:t>benjamin.derbez@univ-paris8.fr</w:t>
        </w:r>
      </w:hyperlink>
    </w:p>
    <w:p w:rsidR="00237689" w:rsidRDefault="000F7F20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hyperlink r:id="rId8" w:history="1">
        <w:r w:rsidR="00C77CCA" w:rsidRPr="00AF2CF7">
          <w:rPr>
            <w:rStyle w:val="Lienhypertexte"/>
            <w:rFonts w:ascii="Times New Roman" w:hAnsi="Times New Roman" w:cs="Times New Roman"/>
            <w:sz w:val="24"/>
            <w:szCs w:val="24"/>
          </w:rPr>
          <w:t>ashveen.peerbaye@univ-eiffel.fr</w:t>
        </w:r>
      </w:hyperlink>
    </w:p>
    <w:p w:rsidR="00C82E6C" w:rsidRDefault="000F7F20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50458" w:rsidRPr="00AF2CF7">
          <w:rPr>
            <w:rStyle w:val="Lienhypertexte"/>
            <w:rFonts w:ascii="Times New Roman" w:hAnsi="Times New Roman" w:cs="Times New Roman"/>
            <w:sz w:val="24"/>
            <w:szCs w:val="24"/>
          </w:rPr>
          <w:t>d.saint-marc@irtsnouvelleaquitaine.fr</w:t>
        </w:r>
      </w:hyperlink>
    </w:p>
    <w:p w:rsidR="00450458" w:rsidRDefault="00450458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89" w:rsidRPr="00237689" w:rsidRDefault="00237689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Les articles sélectionnés à l’issue de cette étape (courant m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ars) devront leur être adressés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avant le 30 juin 2021. Ils seront alors transmis à la rédac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 w:rsidR="00C82E6C" w:rsidRPr="00C82E6C">
        <w:rPr>
          <w:rFonts w:ascii="Times New Roman" w:hAnsi="Times New Roman" w:cs="Times New Roman"/>
          <w:color w:val="000000"/>
          <w:sz w:val="24"/>
          <w:szCs w:val="24"/>
        </w:rPr>
        <w:t>d’</w:t>
      </w:r>
      <w:r w:rsidR="00C82E6C" w:rsidRPr="00C82E6C">
        <w:rPr>
          <w:rFonts w:ascii="Times New Roman" w:hAnsi="Times New Roman" w:cs="Times New Roman"/>
          <w:i/>
          <w:color w:val="000000"/>
          <w:sz w:val="24"/>
          <w:szCs w:val="24"/>
        </w:rPr>
        <w:t>Anthropologie &amp; Santé</w:t>
      </w:r>
      <w:r w:rsidR="00C82E6C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évalués selon la procédure habituelle de double évaluation externe et anonyme.</w:t>
      </w:r>
    </w:p>
    <w:p w:rsidR="00C82E6C" w:rsidRDefault="00C82E6C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89" w:rsidRDefault="00237689" w:rsidP="00C82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La publication de ce numéro est prévue pour novembre 2022.</w:t>
      </w:r>
    </w:p>
    <w:p w:rsidR="00C82E6C" w:rsidRPr="008D36A2" w:rsidRDefault="00C82E6C" w:rsidP="00C82E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Les articles acceptés pour publication pourront être mis en ligne avant cette date dans la rubrique dédiée de la revue.</w:t>
      </w:r>
    </w:p>
    <w:p w:rsidR="00C82E6C" w:rsidRPr="00237689" w:rsidRDefault="00C82E6C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E6C" w:rsidRPr="00C82E6C" w:rsidRDefault="00C82E6C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E6C" w:rsidRPr="00C82E6C" w:rsidRDefault="00C82E6C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E6C" w:rsidRPr="00C82E6C" w:rsidRDefault="00C82E6C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7689" w:rsidRPr="00B5184B" w:rsidRDefault="00237689" w:rsidP="0023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518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Références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Buse C., Martin D., Nettleton S, 2018, « Conceptualising ‘materialities of care’: making visible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mundane material culture in health and social care contexts »,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Sociology of Health &amp; Illness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40(2), p. 243–255.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Denis J., Pontille D., 2015, « Material Ordering and the Care of Things »,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Science, Technology,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Human Values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40 (3), pp. 338-367.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Derbez B., 2018, « Les paradoxes du </w:t>
      </w:r>
      <w:r w:rsidRPr="00672EA2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 dans les essais cliniques de phase I en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cancérologie »,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Sciences sociales et santé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36(1), p. 5-29.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Hennion A., Vidal-Naquet P., 2015, « La contrainte est-elle compatible avec le </w:t>
      </w:r>
      <w:r w:rsidRPr="00672EA2">
        <w:rPr>
          <w:rFonts w:ascii="Times New Roman" w:hAnsi="Times New Roman" w:cs="Times New Roman"/>
          <w:i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 ? »,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ALTER, journal européen de recherche sur le handicap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En ligne.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Kleinman A. et Van Der Geest S., 2009, « ‘Care’ in Health Care. Remaking the Moral World of</w:t>
      </w:r>
      <w:r w:rsidR="001C06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Medicine »,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Medische Anthropologie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, 21(1), pp. 159-167.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Mol A., 2009,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 que soigner veut dire. Repenser le libre choix du patient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Paris, Presses des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Mines.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Mol A., Moser I., Pols J., 2010,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Care in Practice: On Tinkering in Clinics, Homes and Farms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Transcript-Verlag.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Pols J., 2012,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Care at a distance. On closeness of technology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, Amsterdam, Amsterdam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 Press.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Puig de la Bellacasa M., 2011, “Matters of care in technoscience: Assembling neglected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things”,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 Studies of Science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, 41(1), pp. 85-106.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Puig de la Bellacasa M., 2017, Matters of care: speculative ethics in ore than human world,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Minneapolis: University of Minnesota Press.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Rabeharisoa V., Akrich M. et Moreira T., Evidence-based Activism, BioSocieties, Dossier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thématique.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Saillant F. et Gagnon E., 1999, « Vers une anthropologie des soins ? »,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Anthropologie et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Sociétés</w:t>
      </w: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, vol. 23, no 2, pp. 5-14.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Tantchou J., 2018, « The Materiality of Care and Nurses’ “Attitude Problem” »,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Science,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Technology, &amp; Human Values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43(2), p. 270-301.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Tronto J., 2009,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 Monde vulnérable. Pour une politique du </w:t>
      </w:r>
      <w:r w:rsidRPr="008732FD">
        <w:rPr>
          <w:rFonts w:ascii="Times New Roman" w:hAnsi="Times New Roman" w:cs="Times New Roman"/>
          <w:iCs/>
          <w:color w:val="000000"/>
          <w:sz w:val="24"/>
          <w:szCs w:val="24"/>
        </w:rPr>
        <w:t>care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Paris, La Découverte.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Vinck D., 2009, « De l’objet intermédiaire à l’objet-frontière. Vers la prise en compte du travail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d’équipement »,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Revue d’anthropologie des connaissances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3(1), p. 51-72.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Vozari A-S., 2012, « Surveiller pour “veiller sur” en protection maternelle et infantile », in : Y.</w:t>
      </w:r>
    </w:p>
    <w:p w:rsidR="00237689" w:rsidRPr="00237689" w:rsidRDefault="00237689" w:rsidP="0075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 xml:space="preserve">Knibiehler et al. (dir.), </w:t>
      </w:r>
      <w:r w:rsidRPr="00237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maternité à l’épreuve du genre</w:t>
      </w:r>
      <w:r w:rsidRPr="00237689">
        <w:rPr>
          <w:rFonts w:ascii="Times New Roman" w:hAnsi="Times New Roman" w:cs="Times New Roman"/>
          <w:color w:val="000000"/>
          <w:sz w:val="24"/>
          <w:szCs w:val="24"/>
        </w:rPr>
        <w:t>, Rennes, Presses de l’EHESP, pp.</w:t>
      </w:r>
    </w:p>
    <w:p w:rsidR="00CD5060" w:rsidRPr="00237689" w:rsidRDefault="00237689" w:rsidP="00755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89">
        <w:rPr>
          <w:rFonts w:ascii="Times New Roman" w:hAnsi="Times New Roman" w:cs="Times New Roman"/>
          <w:color w:val="000000"/>
          <w:sz w:val="24"/>
          <w:szCs w:val="24"/>
        </w:rPr>
        <w:t>109-116</w:t>
      </w:r>
    </w:p>
    <w:sectPr w:rsidR="00CD5060" w:rsidRPr="0023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196B"/>
    <w:multiLevelType w:val="hybridMultilevel"/>
    <w:tmpl w:val="BA784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0"/>
    <w:rsid w:val="000B13EA"/>
    <w:rsid w:val="000F7F20"/>
    <w:rsid w:val="001C0675"/>
    <w:rsid w:val="00203403"/>
    <w:rsid w:val="00237689"/>
    <w:rsid w:val="003656B4"/>
    <w:rsid w:val="003A2B0D"/>
    <w:rsid w:val="00450458"/>
    <w:rsid w:val="004D64C6"/>
    <w:rsid w:val="0052070A"/>
    <w:rsid w:val="0054121E"/>
    <w:rsid w:val="00672EA2"/>
    <w:rsid w:val="00721D45"/>
    <w:rsid w:val="007558A1"/>
    <w:rsid w:val="008732FD"/>
    <w:rsid w:val="00880893"/>
    <w:rsid w:val="00B5184B"/>
    <w:rsid w:val="00C46837"/>
    <w:rsid w:val="00C77CCA"/>
    <w:rsid w:val="00C82E6C"/>
    <w:rsid w:val="00CD5060"/>
    <w:rsid w:val="00DB348D"/>
    <w:rsid w:val="00E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A604-1D05-4320-9BCB-454EBB3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060"/>
    <w:pPr>
      <w:ind w:left="720"/>
      <w:contextualSpacing/>
    </w:pPr>
  </w:style>
  <w:style w:type="paragraph" w:customStyle="1" w:styleId="Default">
    <w:name w:val="Default"/>
    <w:rsid w:val="0023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77C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veen.peerbaye@univ-eiffe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jamin.derbez@univ-paris8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dagiral@parisdescarte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saint-marc@irtsnouvelle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Microsoft Office User</cp:lastModifiedBy>
  <cp:revision>3</cp:revision>
  <dcterms:created xsi:type="dcterms:W3CDTF">2020-12-18T13:41:00Z</dcterms:created>
  <dcterms:modified xsi:type="dcterms:W3CDTF">2020-12-18T16:04:00Z</dcterms:modified>
</cp:coreProperties>
</file>