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48D6F" w14:textId="77777777" w:rsidR="0011685A" w:rsidRPr="00ED3B0F" w:rsidRDefault="0011685A" w:rsidP="0011685A">
      <w:pPr>
        <w:pStyle w:val="Titre1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ED3B0F">
        <w:rPr>
          <w:color w:val="000000" w:themeColor="text1"/>
          <w:sz w:val="32"/>
          <w:szCs w:val="32"/>
        </w:rPr>
        <w:t>Séminaire de recherche</w:t>
      </w:r>
    </w:p>
    <w:p w14:paraId="24596FCD" w14:textId="4A2E871F" w:rsidR="008E53EC" w:rsidRPr="00ED3B0F" w:rsidRDefault="0011685A" w:rsidP="00440296">
      <w:pPr>
        <w:pStyle w:val="Titre1"/>
        <w:spacing w:before="0" w:beforeAutospacing="0" w:after="0" w:afterAutospacing="0"/>
        <w:jc w:val="center"/>
        <w:rPr>
          <w:sz w:val="32"/>
          <w:szCs w:val="32"/>
        </w:rPr>
      </w:pPr>
      <w:r w:rsidRPr="00ED3B0F">
        <w:rPr>
          <w:sz w:val="32"/>
          <w:szCs w:val="32"/>
        </w:rPr>
        <w:t>« Educat</w:t>
      </w:r>
      <w:r>
        <w:rPr>
          <w:sz w:val="32"/>
          <w:szCs w:val="32"/>
        </w:rPr>
        <w:t xml:space="preserve">ion formelle et non formelle : </w:t>
      </w:r>
      <w:r w:rsidRPr="00ED3B0F">
        <w:rPr>
          <w:sz w:val="32"/>
          <w:szCs w:val="32"/>
        </w:rPr>
        <w:t>quelles interfaces ?»</w:t>
      </w:r>
      <w:bookmarkStart w:id="0" w:name="_GoBack"/>
      <w:bookmarkEnd w:id="0"/>
      <w:r w:rsidR="008E53EC" w:rsidRPr="008E53EC">
        <w:rPr>
          <w:color w:val="000000" w:themeColor="text1"/>
          <w:sz w:val="32"/>
          <w:szCs w:val="32"/>
        </w:rPr>
        <w:t xml:space="preserve"> </w:t>
      </w:r>
    </w:p>
    <w:p w14:paraId="2C0AB358" w14:textId="77777777" w:rsidR="00A40564" w:rsidRPr="00A40564" w:rsidRDefault="00A40564" w:rsidP="00A405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0DFB7" w14:textId="77777777" w:rsidR="008641B7" w:rsidRDefault="008641B7" w:rsidP="005407BC">
      <w:pPr>
        <w:jc w:val="center"/>
        <w:rPr>
          <w:rFonts w:eastAsia="Times New Roman"/>
        </w:rPr>
      </w:pPr>
    </w:p>
    <w:p w14:paraId="2467242A" w14:textId="070AD676" w:rsidR="003C5EA5" w:rsidRDefault="008641B7" w:rsidP="005407BC">
      <w:pPr>
        <w:pStyle w:val="Titre2"/>
        <w:jc w:val="center"/>
        <w:rPr>
          <w:b/>
          <w:color w:val="000000" w:themeColor="text1"/>
        </w:rPr>
      </w:pPr>
      <w:r w:rsidRPr="001036E6">
        <w:rPr>
          <w:b/>
          <w:color w:val="000000" w:themeColor="text1"/>
        </w:rPr>
        <w:t xml:space="preserve">Séminaire à destination des étudiants, des enseignants, </w:t>
      </w:r>
      <w:r w:rsidR="00C303BE" w:rsidRPr="001036E6">
        <w:rPr>
          <w:b/>
          <w:color w:val="000000" w:themeColor="text1"/>
        </w:rPr>
        <w:t xml:space="preserve">des </w:t>
      </w:r>
      <w:r w:rsidR="00C303BE">
        <w:rPr>
          <w:b/>
          <w:color w:val="000000" w:themeColor="text1"/>
        </w:rPr>
        <w:t>médiateurs d’</w:t>
      </w:r>
      <w:r w:rsidR="00C303BE" w:rsidRPr="001036E6">
        <w:rPr>
          <w:b/>
          <w:color w:val="000000" w:themeColor="text1"/>
        </w:rPr>
        <w:t xml:space="preserve">institutions et </w:t>
      </w:r>
      <w:r w:rsidR="00C303BE">
        <w:rPr>
          <w:b/>
          <w:color w:val="000000" w:themeColor="text1"/>
        </w:rPr>
        <w:t>d’</w:t>
      </w:r>
      <w:r w:rsidR="00C303BE" w:rsidRPr="001036E6">
        <w:rPr>
          <w:b/>
          <w:color w:val="000000" w:themeColor="text1"/>
        </w:rPr>
        <w:t xml:space="preserve">associations </w:t>
      </w:r>
      <w:r w:rsidR="00E347DA">
        <w:rPr>
          <w:b/>
          <w:color w:val="000000" w:themeColor="text1"/>
        </w:rPr>
        <w:t xml:space="preserve">scientifiques </w:t>
      </w:r>
      <w:r w:rsidR="00C303BE">
        <w:rPr>
          <w:b/>
          <w:color w:val="000000" w:themeColor="text1"/>
        </w:rPr>
        <w:t>d'éducation au développement durable</w:t>
      </w:r>
      <w:r w:rsidR="00E347DA">
        <w:rPr>
          <w:b/>
          <w:color w:val="000000" w:themeColor="text1"/>
        </w:rPr>
        <w:t xml:space="preserve">, </w:t>
      </w:r>
      <w:r w:rsidR="00C303BE">
        <w:rPr>
          <w:b/>
          <w:color w:val="000000" w:themeColor="text1"/>
        </w:rPr>
        <w:t xml:space="preserve">et </w:t>
      </w:r>
      <w:r w:rsidR="003C5EA5" w:rsidRPr="001036E6">
        <w:rPr>
          <w:b/>
          <w:color w:val="000000" w:themeColor="text1"/>
        </w:rPr>
        <w:t>des chercheurs e</w:t>
      </w:r>
      <w:r w:rsidR="00C303BE">
        <w:rPr>
          <w:b/>
          <w:color w:val="000000" w:themeColor="text1"/>
        </w:rPr>
        <w:t>n éducation et en communication</w:t>
      </w:r>
      <w:r w:rsidR="00712CA8">
        <w:rPr>
          <w:b/>
          <w:color w:val="000000" w:themeColor="text1"/>
        </w:rPr>
        <w:t>.</w:t>
      </w:r>
    </w:p>
    <w:p w14:paraId="20055F14" w14:textId="77777777" w:rsidR="00F46F2C" w:rsidRDefault="00F46F2C" w:rsidP="005407BC">
      <w:pPr>
        <w:jc w:val="center"/>
      </w:pPr>
    </w:p>
    <w:p w14:paraId="1FFBEEA2" w14:textId="77777777" w:rsidR="0064250F" w:rsidRDefault="0064250F" w:rsidP="005407BC">
      <w:pPr>
        <w:jc w:val="center"/>
      </w:pPr>
    </w:p>
    <w:p w14:paraId="1B910A13" w14:textId="07F785B8" w:rsidR="0064250F" w:rsidRDefault="00ED3B0F" w:rsidP="00A40564">
      <w:pPr>
        <w:pStyle w:val="Paragraphedeliste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Mardi 12 mars </w:t>
      </w:r>
      <w:r w:rsidR="0064250F" w:rsidRPr="0064250F">
        <w:rPr>
          <w:b/>
          <w:sz w:val="32"/>
          <w:szCs w:val="32"/>
        </w:rPr>
        <w:t xml:space="preserve"> 2019, 14h-17h</w:t>
      </w:r>
    </w:p>
    <w:p w14:paraId="2BC6C08D" w14:textId="77777777" w:rsidR="00C61D06" w:rsidRPr="00C61D06" w:rsidRDefault="00C61D06" w:rsidP="005407BC">
      <w:pPr>
        <w:pStyle w:val="Paragraphedeliste"/>
        <w:jc w:val="center"/>
        <w:rPr>
          <w:b/>
          <w:sz w:val="32"/>
          <w:szCs w:val="32"/>
        </w:rPr>
      </w:pPr>
    </w:p>
    <w:p w14:paraId="7C2B00F3" w14:textId="41427013" w:rsidR="00ED3B0F" w:rsidRPr="005407BC" w:rsidRDefault="00ED3B0F" w:rsidP="005407BC">
      <w:pPr>
        <w:jc w:val="center"/>
        <w:rPr>
          <w:rFonts w:ascii="Cambria" w:hAnsi="Cambria" w:cs="FranklinGothic-Book"/>
          <w:sz w:val="32"/>
          <w:szCs w:val="32"/>
        </w:rPr>
      </w:pPr>
      <w:r w:rsidRPr="005407BC">
        <w:rPr>
          <w:rFonts w:ascii="Cambria" w:hAnsi="Cambria" w:cs="Segoe UI"/>
          <w:b/>
          <w:sz w:val="32"/>
          <w:szCs w:val="32"/>
        </w:rPr>
        <w:t xml:space="preserve">Véronique </w:t>
      </w:r>
      <w:proofErr w:type="gramStart"/>
      <w:r w:rsidRPr="005407BC">
        <w:rPr>
          <w:rFonts w:ascii="Cambria" w:hAnsi="Cambria" w:cs="Segoe UI"/>
          <w:b/>
          <w:sz w:val="32"/>
          <w:szCs w:val="32"/>
        </w:rPr>
        <w:t>BORDES</w:t>
      </w:r>
      <w:proofErr w:type="gramEnd"/>
      <w:r w:rsidRPr="005407BC">
        <w:rPr>
          <w:rFonts w:ascii="Cambria" w:hAnsi="Cambria" w:cs="Segoe UI"/>
          <w:b/>
          <w:sz w:val="32"/>
          <w:szCs w:val="32"/>
        </w:rPr>
        <w:t xml:space="preserve">, </w:t>
      </w:r>
      <w:r w:rsidRPr="005407BC">
        <w:rPr>
          <w:rFonts w:ascii="Cambria" w:hAnsi="Cambria"/>
          <w:i/>
          <w:sz w:val="32"/>
          <w:szCs w:val="32"/>
        </w:rPr>
        <w:t xml:space="preserve"> </w:t>
      </w:r>
      <w:r w:rsidR="004353CE" w:rsidRPr="004353CE">
        <w:rPr>
          <w:sz w:val="32"/>
          <w:szCs w:val="32"/>
        </w:rPr>
        <w:t>Professeure des Universités en Sciences de l’Éducation</w:t>
      </w:r>
      <w:r w:rsidR="004353CE" w:rsidRPr="004353CE">
        <w:rPr>
          <w:rFonts w:ascii="Cambria" w:hAnsi="Cambria" w:cs="FranklinGothic-Book"/>
          <w:sz w:val="32"/>
          <w:szCs w:val="32"/>
        </w:rPr>
        <w:t xml:space="preserve"> </w:t>
      </w:r>
      <w:r w:rsidRPr="004353CE">
        <w:rPr>
          <w:rFonts w:ascii="Cambria" w:hAnsi="Cambria" w:cs="FranklinGothic-Book"/>
          <w:sz w:val="32"/>
          <w:szCs w:val="32"/>
        </w:rPr>
        <w:t>EFTS,</w:t>
      </w:r>
      <w:r w:rsidRPr="005407BC">
        <w:rPr>
          <w:rFonts w:ascii="Cambria" w:hAnsi="Cambria" w:cs="FranklinGothic-Book"/>
          <w:sz w:val="32"/>
          <w:szCs w:val="32"/>
        </w:rPr>
        <w:t xml:space="preserve"> Université de Toulouse.</w:t>
      </w:r>
    </w:p>
    <w:p w14:paraId="3DD1917A" w14:textId="77777777" w:rsidR="00C61D06" w:rsidRPr="005407BC" w:rsidRDefault="00C61D06" w:rsidP="005407BC">
      <w:pPr>
        <w:jc w:val="center"/>
        <w:rPr>
          <w:rFonts w:ascii="Cambria" w:hAnsi="Cambria" w:cs="FranklinGothic-Book"/>
          <w:sz w:val="28"/>
          <w:szCs w:val="28"/>
        </w:rPr>
      </w:pPr>
    </w:p>
    <w:p w14:paraId="06265A7C" w14:textId="3DACAF31" w:rsidR="004353CE" w:rsidRPr="004353CE" w:rsidRDefault="004353CE" w:rsidP="004353CE">
      <w:pPr>
        <w:jc w:val="center"/>
        <w:rPr>
          <w:b/>
          <w:sz w:val="28"/>
          <w:szCs w:val="28"/>
        </w:rPr>
      </w:pPr>
      <w:r w:rsidRPr="004353CE">
        <w:rPr>
          <w:b/>
          <w:sz w:val="28"/>
          <w:szCs w:val="28"/>
        </w:rPr>
        <w:t>Professionnels de l’éducation formelle et non formelle : les difficultés et les enjeux d’un partenariat utile à la société.</w:t>
      </w:r>
    </w:p>
    <w:p w14:paraId="0869FF2C" w14:textId="77777777" w:rsidR="004353CE" w:rsidRDefault="004353CE" w:rsidP="004353CE">
      <w:pPr>
        <w:jc w:val="both"/>
      </w:pPr>
    </w:p>
    <w:p w14:paraId="6159E91F" w14:textId="77777777" w:rsidR="004353CE" w:rsidRPr="004353CE" w:rsidRDefault="004353CE" w:rsidP="004353CE">
      <w:pPr>
        <w:jc w:val="both"/>
        <w:rPr>
          <w:b/>
          <w:sz w:val="28"/>
          <w:szCs w:val="28"/>
        </w:rPr>
      </w:pPr>
      <w:r w:rsidRPr="004353CE">
        <w:rPr>
          <w:b/>
          <w:sz w:val="28"/>
          <w:szCs w:val="28"/>
        </w:rPr>
        <w:t>Résumé</w:t>
      </w:r>
    </w:p>
    <w:p w14:paraId="70EA79AE" w14:textId="54FEB339" w:rsidR="00A40564" w:rsidRPr="00440296" w:rsidRDefault="004353CE" w:rsidP="00440296">
      <w:pPr>
        <w:jc w:val="both"/>
      </w:pPr>
      <w:r>
        <w:t xml:space="preserve">Après avoir exploré la définition de ces deux formes d’éducation, nous tenterons de comprendre les enjeux, pour notre société, d’un partenariat entre professionnels. Comment les interactions ont des difficultés à se développer ? Quelle compréhension la recherche nous permet de proposer ? Cette </w:t>
      </w:r>
      <w:r>
        <w:t>hiérarchisation de l’éducation s</w:t>
      </w:r>
      <w:r>
        <w:t>e doit, aujourd’hui, d’être mise en débat.</w:t>
      </w:r>
    </w:p>
    <w:p w14:paraId="5E37C070" w14:textId="77777777" w:rsidR="0064250F" w:rsidRPr="00E347DA" w:rsidRDefault="0064250F" w:rsidP="005407BC">
      <w:pPr>
        <w:jc w:val="center"/>
      </w:pPr>
    </w:p>
    <w:p w14:paraId="3C997FB2" w14:textId="77777777" w:rsidR="0064250F" w:rsidRDefault="0064250F" w:rsidP="005407BC">
      <w:pPr>
        <w:jc w:val="center"/>
      </w:pPr>
    </w:p>
    <w:p w14:paraId="645E474B" w14:textId="4BA1174B" w:rsidR="0064250F" w:rsidRDefault="0064250F" w:rsidP="005407BC">
      <w:pPr>
        <w:jc w:val="center"/>
        <w:rPr>
          <w:b/>
        </w:rPr>
      </w:pPr>
      <w:r>
        <w:rPr>
          <w:b/>
        </w:rPr>
        <w:t xml:space="preserve">FACULTÉ </w:t>
      </w:r>
      <w:proofErr w:type="gramStart"/>
      <w:r>
        <w:rPr>
          <w:b/>
        </w:rPr>
        <w:t>D’</w:t>
      </w:r>
      <w:r w:rsidR="00ED3B0F">
        <w:rPr>
          <w:b/>
        </w:rPr>
        <w:t xml:space="preserve"> </w:t>
      </w:r>
      <w:r>
        <w:rPr>
          <w:b/>
        </w:rPr>
        <w:t>ÉDUCATION</w:t>
      </w:r>
      <w:proofErr w:type="gramEnd"/>
      <w:r>
        <w:rPr>
          <w:b/>
        </w:rPr>
        <w:t xml:space="preserve"> DE </w:t>
      </w:r>
      <w:r w:rsidR="005407BC">
        <w:rPr>
          <w:b/>
        </w:rPr>
        <w:t xml:space="preserve">l’UNIVERSITE DE </w:t>
      </w:r>
      <w:r>
        <w:rPr>
          <w:b/>
        </w:rPr>
        <w:t>MONTPELLIER</w:t>
      </w:r>
    </w:p>
    <w:p w14:paraId="58D2D062" w14:textId="1E7640F2" w:rsidR="00C61D06" w:rsidRPr="00C61D06" w:rsidRDefault="00C61D06" w:rsidP="005407BC">
      <w:pPr>
        <w:jc w:val="center"/>
        <w:rPr>
          <w:sz w:val="20"/>
          <w:szCs w:val="20"/>
        </w:rPr>
      </w:pPr>
      <w:r w:rsidRPr="00C61D06">
        <w:rPr>
          <w:sz w:val="20"/>
          <w:szCs w:val="20"/>
        </w:rPr>
        <w:t>(Bâtiment</w:t>
      </w:r>
      <w:r w:rsidR="005407BC">
        <w:rPr>
          <w:sz w:val="20"/>
          <w:szCs w:val="20"/>
        </w:rPr>
        <w:t xml:space="preserve"> A</w:t>
      </w:r>
      <w:r w:rsidRPr="00C61D06">
        <w:rPr>
          <w:sz w:val="20"/>
          <w:szCs w:val="20"/>
        </w:rPr>
        <w:t xml:space="preserve">, </w:t>
      </w:r>
      <w:proofErr w:type="gramStart"/>
      <w:r w:rsidRPr="00C61D06">
        <w:rPr>
          <w:sz w:val="20"/>
          <w:szCs w:val="20"/>
        </w:rPr>
        <w:t>salle</w:t>
      </w:r>
      <w:r w:rsidR="004353CE">
        <w:rPr>
          <w:sz w:val="20"/>
          <w:szCs w:val="20"/>
        </w:rPr>
        <w:t xml:space="preserve">109 </w:t>
      </w:r>
      <w:r w:rsidRPr="00C61D06">
        <w:rPr>
          <w:sz w:val="20"/>
          <w:szCs w:val="20"/>
        </w:rPr>
        <w:t>)</w:t>
      </w:r>
      <w:proofErr w:type="gramEnd"/>
    </w:p>
    <w:p w14:paraId="2D9B7895" w14:textId="4732CB0E" w:rsidR="00F46F2C" w:rsidRPr="00F46F2C" w:rsidRDefault="00F46F2C" w:rsidP="005407BC">
      <w:pPr>
        <w:jc w:val="center"/>
      </w:pPr>
      <w:r w:rsidRPr="0083698C">
        <w:rPr>
          <w:b/>
        </w:rPr>
        <w:t>RETRANSMIS EN VISIOCONFERENCE A l’ENS DE LYON</w:t>
      </w:r>
      <w:r w:rsidR="0083698C">
        <w:t xml:space="preserve"> </w:t>
      </w:r>
      <w:r w:rsidR="0083698C">
        <w:br/>
      </w:r>
      <w:r w:rsidR="0083698C" w:rsidRPr="00C61D06">
        <w:rPr>
          <w:sz w:val="20"/>
          <w:szCs w:val="20"/>
        </w:rPr>
        <w:t xml:space="preserve">(salle D2 012 – Descartes – Métro </w:t>
      </w:r>
      <w:proofErr w:type="spellStart"/>
      <w:r w:rsidR="0083698C" w:rsidRPr="00C61D06">
        <w:rPr>
          <w:sz w:val="20"/>
          <w:szCs w:val="20"/>
        </w:rPr>
        <w:t>Debourg</w:t>
      </w:r>
      <w:proofErr w:type="spellEnd"/>
      <w:proofErr w:type="gramStart"/>
      <w:r w:rsidR="0083698C" w:rsidRPr="00C61D06">
        <w:rPr>
          <w:sz w:val="20"/>
          <w:szCs w:val="20"/>
        </w:rPr>
        <w:t>)</w:t>
      </w:r>
      <w:proofErr w:type="gramEnd"/>
      <w:r w:rsidRPr="00C61D06">
        <w:rPr>
          <w:sz w:val="20"/>
          <w:szCs w:val="20"/>
        </w:rPr>
        <w:br/>
      </w:r>
      <w:r w:rsidR="00ED3B0F">
        <w:rPr>
          <w:b/>
        </w:rPr>
        <w:t>Possibilités de suivre le séminaire à distance</w:t>
      </w:r>
      <w:r w:rsidR="005407BC">
        <w:rPr>
          <w:b/>
        </w:rPr>
        <w:t xml:space="preserve">. Contacts : </w:t>
      </w:r>
      <w:r w:rsidR="00ED3B0F">
        <w:rPr>
          <w:b/>
        </w:rPr>
        <w:t xml:space="preserve"> </w:t>
      </w:r>
      <w:r w:rsidR="0083698C">
        <w:br/>
        <w:t xml:space="preserve"> </w:t>
      </w:r>
      <w:r>
        <w:t xml:space="preserve"> </w:t>
      </w:r>
      <w:hyperlink r:id="rId8" w:history="1">
        <w:r w:rsidR="0083698C" w:rsidRPr="00507E5E">
          <w:rPr>
            <w:rStyle w:val="Lienhypertexte"/>
          </w:rPr>
          <w:t>Benoit.Urgelli@univ-lyon2.fr</w:t>
        </w:r>
      </w:hyperlink>
      <w:r w:rsidR="0083698C">
        <w:t xml:space="preserve"> – </w:t>
      </w:r>
      <w:hyperlink r:id="rId9" w:history="1">
        <w:r w:rsidR="0083698C" w:rsidRPr="00742885">
          <w:rPr>
            <w:rStyle w:val="Lienhypertexte"/>
          </w:rPr>
          <w:t>Muriel.Guedj@umontpellier.fr</w:t>
        </w:r>
      </w:hyperlink>
    </w:p>
    <w:p w14:paraId="2D3E59C8" w14:textId="77777777" w:rsidR="00692946" w:rsidRPr="00692946" w:rsidRDefault="00692946" w:rsidP="005407BC">
      <w:pPr>
        <w:jc w:val="center"/>
        <w:rPr>
          <w:rFonts w:cs="Segoe UI"/>
          <w:color w:val="212121"/>
        </w:rPr>
      </w:pPr>
    </w:p>
    <w:p w14:paraId="09A58079" w14:textId="77777777" w:rsidR="00692946" w:rsidRPr="00692946" w:rsidRDefault="00692946" w:rsidP="00692946">
      <w:pPr>
        <w:jc w:val="both"/>
        <w:rPr>
          <w:rFonts w:cs="Segoe UI"/>
          <w:color w:val="212121"/>
        </w:rPr>
      </w:pPr>
    </w:p>
    <w:p w14:paraId="5B626726" w14:textId="7BF1B552" w:rsidR="00FD501E" w:rsidRPr="00692946" w:rsidRDefault="00FD501E" w:rsidP="00692946">
      <w:pPr>
        <w:jc w:val="both"/>
      </w:pPr>
    </w:p>
    <w:p w14:paraId="1FBA3917" w14:textId="1FA9FC78" w:rsidR="008B3DC8" w:rsidRPr="005D34CA" w:rsidRDefault="0082365D" w:rsidP="00C61D06">
      <w:pPr>
        <w:ind w:firstLine="708"/>
        <w:jc w:val="both"/>
        <w:rPr>
          <w:color w:val="000000" w:themeColor="text1"/>
        </w:rPr>
      </w:pPr>
      <w:r w:rsidRPr="005D34CA">
        <w:rPr>
          <w:color w:val="000000" w:themeColor="text1"/>
        </w:rPr>
        <w:t xml:space="preserve">Ce séminaire </w:t>
      </w:r>
      <w:r w:rsidR="00FD501E" w:rsidRPr="005D34CA">
        <w:rPr>
          <w:color w:val="000000" w:themeColor="text1"/>
        </w:rPr>
        <w:t>s’intéresse aux pratiques de médiations scientifiques, lorsqu’elle</w:t>
      </w:r>
      <w:r w:rsidRPr="005D34CA">
        <w:rPr>
          <w:color w:val="000000" w:themeColor="text1"/>
        </w:rPr>
        <w:t>s</w:t>
      </w:r>
      <w:r w:rsidR="00FD501E" w:rsidRPr="005D34CA">
        <w:rPr>
          <w:color w:val="000000" w:themeColor="text1"/>
        </w:rPr>
        <w:t xml:space="preserve"> se déroule</w:t>
      </w:r>
      <w:r w:rsidRPr="005D34CA">
        <w:rPr>
          <w:color w:val="000000" w:themeColor="text1"/>
        </w:rPr>
        <w:t>nt</w:t>
      </w:r>
      <w:r w:rsidR="00FD501E" w:rsidRPr="005D34CA">
        <w:rPr>
          <w:color w:val="000000" w:themeColor="text1"/>
        </w:rPr>
        <w:t xml:space="preserve"> à l’interface </w:t>
      </w:r>
      <w:r w:rsidR="007A352C" w:rsidRPr="005D34CA">
        <w:rPr>
          <w:color w:val="000000" w:themeColor="text1"/>
        </w:rPr>
        <w:t>entre éduca</w:t>
      </w:r>
      <w:r w:rsidR="00FD501E" w:rsidRPr="005D34CA">
        <w:rPr>
          <w:color w:val="000000" w:themeColor="text1"/>
        </w:rPr>
        <w:t>tions formelle et non formelle</w:t>
      </w:r>
      <w:r w:rsidR="008B3DC8" w:rsidRPr="005D34CA">
        <w:rPr>
          <w:color w:val="000000" w:themeColor="text1"/>
        </w:rPr>
        <w:t xml:space="preserve"> (musée, zoo, </w:t>
      </w:r>
      <w:r w:rsidR="00F27720">
        <w:rPr>
          <w:color w:val="000000" w:themeColor="text1"/>
        </w:rPr>
        <w:t xml:space="preserve">jardin botanique, </w:t>
      </w:r>
      <w:r w:rsidR="008B3DC8" w:rsidRPr="005D34CA">
        <w:rPr>
          <w:color w:val="000000" w:themeColor="text1"/>
        </w:rPr>
        <w:t xml:space="preserve">ateliers </w:t>
      </w:r>
      <w:r w:rsidR="0083698C">
        <w:rPr>
          <w:color w:val="000000" w:themeColor="text1"/>
        </w:rPr>
        <w:t>associatifs</w:t>
      </w:r>
      <w:r w:rsidR="008B3DC8" w:rsidRPr="005D34CA">
        <w:rPr>
          <w:color w:val="000000" w:themeColor="text1"/>
        </w:rPr>
        <w:t>, etc.)</w:t>
      </w:r>
      <w:r w:rsidR="00FD501E" w:rsidRPr="005D34CA">
        <w:rPr>
          <w:color w:val="000000" w:themeColor="text1"/>
        </w:rPr>
        <w:t xml:space="preserve">. </w:t>
      </w:r>
    </w:p>
    <w:p w14:paraId="415BBAEC" w14:textId="7D639452" w:rsidR="00FD501E" w:rsidRPr="005D34CA" w:rsidRDefault="007A352C" w:rsidP="00ED3B0F">
      <w:pPr>
        <w:ind w:firstLine="709"/>
        <w:jc w:val="both"/>
        <w:rPr>
          <w:color w:val="000000" w:themeColor="text1"/>
        </w:rPr>
      </w:pPr>
      <w:r w:rsidRPr="005D34CA">
        <w:rPr>
          <w:color w:val="000000" w:themeColor="text1"/>
        </w:rPr>
        <w:t>Partenaires de l’école, les musées</w:t>
      </w:r>
      <w:r w:rsidR="00970981" w:rsidRPr="005D34CA">
        <w:rPr>
          <w:color w:val="000000" w:themeColor="text1"/>
        </w:rPr>
        <w:t xml:space="preserve"> et </w:t>
      </w:r>
      <w:r w:rsidR="008B3DC8" w:rsidRPr="005D34CA">
        <w:rPr>
          <w:color w:val="000000" w:themeColor="text1"/>
        </w:rPr>
        <w:t xml:space="preserve">autres </w:t>
      </w:r>
      <w:r w:rsidR="00970981" w:rsidRPr="005D34CA">
        <w:rPr>
          <w:color w:val="000000" w:themeColor="text1"/>
        </w:rPr>
        <w:t xml:space="preserve">institutions </w:t>
      </w:r>
      <w:r w:rsidR="008B3DC8" w:rsidRPr="005D34CA">
        <w:rPr>
          <w:color w:val="000000" w:themeColor="text1"/>
        </w:rPr>
        <w:t xml:space="preserve">ou associations </w:t>
      </w:r>
      <w:r w:rsidR="00970981" w:rsidRPr="005D34CA">
        <w:rPr>
          <w:color w:val="000000" w:themeColor="text1"/>
        </w:rPr>
        <w:t xml:space="preserve">de </w:t>
      </w:r>
      <w:r w:rsidR="008B3DC8" w:rsidRPr="005D34CA">
        <w:rPr>
          <w:color w:val="000000" w:themeColor="text1"/>
        </w:rPr>
        <w:t>promotion de cultures scientifiques</w:t>
      </w:r>
      <w:r w:rsidR="00970981" w:rsidRPr="005D34CA">
        <w:rPr>
          <w:color w:val="000000" w:themeColor="text1"/>
        </w:rPr>
        <w:t xml:space="preserve"> </w:t>
      </w:r>
      <w:r w:rsidRPr="005D34CA">
        <w:rPr>
          <w:color w:val="000000" w:themeColor="text1"/>
        </w:rPr>
        <w:t>ne cessent de développer</w:t>
      </w:r>
      <w:r w:rsidR="008B3DC8" w:rsidRPr="005D34CA">
        <w:rPr>
          <w:color w:val="000000" w:themeColor="text1"/>
        </w:rPr>
        <w:t xml:space="preserve"> </w:t>
      </w:r>
      <w:r w:rsidR="00251063" w:rsidRPr="005D34CA">
        <w:rPr>
          <w:color w:val="000000" w:themeColor="text1"/>
        </w:rPr>
        <w:t xml:space="preserve">des actions </w:t>
      </w:r>
      <w:r w:rsidR="008B3DC8" w:rsidRPr="005D34CA">
        <w:rPr>
          <w:color w:val="000000" w:themeColor="text1"/>
        </w:rPr>
        <w:t xml:space="preserve">pédagogiques </w:t>
      </w:r>
      <w:r w:rsidR="00251063" w:rsidRPr="005D34CA">
        <w:rPr>
          <w:color w:val="000000" w:themeColor="text1"/>
        </w:rPr>
        <w:t>arti</w:t>
      </w:r>
      <w:r w:rsidR="00F27720">
        <w:rPr>
          <w:color w:val="000000" w:themeColor="text1"/>
        </w:rPr>
        <w:t xml:space="preserve">culées aux programmes scolaires, </w:t>
      </w:r>
      <w:r w:rsidR="00251063" w:rsidRPr="005D34CA">
        <w:rPr>
          <w:color w:val="000000" w:themeColor="text1"/>
        </w:rPr>
        <w:t>et impliquant les enseignants</w:t>
      </w:r>
      <w:r w:rsidR="00FD501E" w:rsidRPr="005D34CA">
        <w:rPr>
          <w:color w:val="000000" w:themeColor="text1"/>
        </w:rPr>
        <w:t xml:space="preserve"> du primaire et du secondaire</w:t>
      </w:r>
      <w:r w:rsidR="000C3DF8" w:rsidRPr="005D34CA">
        <w:rPr>
          <w:color w:val="000000" w:themeColor="text1"/>
        </w:rPr>
        <w:t xml:space="preserve"> (</w:t>
      </w:r>
      <w:r w:rsidR="00FD501E" w:rsidRPr="005D34CA">
        <w:rPr>
          <w:color w:val="000000" w:themeColor="text1"/>
        </w:rPr>
        <w:t xml:space="preserve">SNCSTI, </w:t>
      </w:r>
      <w:r w:rsidR="000C3DF8" w:rsidRPr="005D34CA">
        <w:rPr>
          <w:color w:val="000000" w:themeColor="text1"/>
        </w:rPr>
        <w:t>2017)</w:t>
      </w:r>
      <w:r w:rsidR="00970981" w:rsidRPr="005D34CA">
        <w:rPr>
          <w:color w:val="000000" w:themeColor="text1"/>
        </w:rPr>
        <w:t xml:space="preserve">. </w:t>
      </w:r>
    </w:p>
    <w:p w14:paraId="0119D985" w14:textId="46BEF57C" w:rsidR="00921890" w:rsidRPr="00A56066" w:rsidRDefault="00970981" w:rsidP="00ED3B0F">
      <w:pPr>
        <w:ind w:firstLine="708"/>
        <w:jc w:val="both"/>
        <w:rPr>
          <w:color w:val="000000" w:themeColor="text1"/>
        </w:rPr>
      </w:pPr>
      <w:r w:rsidRPr="00A56066">
        <w:rPr>
          <w:color w:val="000000" w:themeColor="text1"/>
        </w:rPr>
        <w:t xml:space="preserve">Dans </w:t>
      </w:r>
      <w:r w:rsidR="00251063" w:rsidRPr="00A56066">
        <w:rPr>
          <w:color w:val="000000" w:themeColor="text1"/>
        </w:rPr>
        <w:t xml:space="preserve">un </w:t>
      </w:r>
      <w:r w:rsidR="009A3CAF" w:rsidRPr="00A56066">
        <w:rPr>
          <w:color w:val="000000" w:themeColor="text1"/>
        </w:rPr>
        <w:t xml:space="preserve">même </w:t>
      </w:r>
      <w:r w:rsidR="00FD501E" w:rsidRPr="00A56066">
        <w:rPr>
          <w:color w:val="000000" w:themeColor="text1"/>
        </w:rPr>
        <w:t xml:space="preserve">mouvement, </w:t>
      </w:r>
      <w:r w:rsidR="00251063" w:rsidRPr="00A56066">
        <w:rPr>
          <w:color w:val="000000" w:themeColor="text1"/>
        </w:rPr>
        <w:t>l’écol</w:t>
      </w:r>
      <w:r w:rsidR="00FD501E" w:rsidRPr="00A56066">
        <w:rPr>
          <w:color w:val="000000" w:themeColor="text1"/>
        </w:rPr>
        <w:t xml:space="preserve">e de </w:t>
      </w:r>
      <w:r w:rsidR="00251063" w:rsidRPr="00A56066">
        <w:rPr>
          <w:color w:val="000000" w:themeColor="text1"/>
        </w:rPr>
        <w:t xml:space="preserve">plus en plus concernée par </w:t>
      </w:r>
      <w:r w:rsidRPr="00A56066">
        <w:rPr>
          <w:color w:val="000000" w:themeColor="text1"/>
        </w:rPr>
        <w:t xml:space="preserve">l’évolution </w:t>
      </w:r>
      <w:r w:rsidR="00A116E6" w:rsidRPr="00A56066">
        <w:rPr>
          <w:color w:val="000000" w:themeColor="text1"/>
        </w:rPr>
        <w:t>technoscientifique</w:t>
      </w:r>
      <w:r w:rsidRPr="00A56066">
        <w:rPr>
          <w:color w:val="000000" w:themeColor="text1"/>
        </w:rPr>
        <w:t xml:space="preserve"> des so</w:t>
      </w:r>
      <w:r w:rsidR="00A116E6" w:rsidRPr="00A56066">
        <w:rPr>
          <w:color w:val="000000" w:themeColor="text1"/>
        </w:rPr>
        <w:t xml:space="preserve">ciétés </w:t>
      </w:r>
      <w:r w:rsidR="002E4F59" w:rsidRPr="00A56066">
        <w:rPr>
          <w:color w:val="000000" w:themeColor="text1"/>
        </w:rPr>
        <w:t>intègre la né</w:t>
      </w:r>
      <w:r w:rsidR="00720435" w:rsidRPr="00A56066">
        <w:rPr>
          <w:color w:val="000000" w:themeColor="text1"/>
        </w:rPr>
        <w:t>cessité de développer des compétences non strictem</w:t>
      </w:r>
      <w:r w:rsidR="00F16B5A" w:rsidRPr="00A56066">
        <w:rPr>
          <w:color w:val="000000" w:themeColor="text1"/>
        </w:rPr>
        <w:t xml:space="preserve">ent disciplinaires </w:t>
      </w:r>
      <w:r w:rsidR="000C3DF8" w:rsidRPr="00A56066">
        <w:rPr>
          <w:color w:val="000000" w:themeColor="text1"/>
        </w:rPr>
        <w:t>(</w:t>
      </w:r>
      <w:r w:rsidR="00FD501E" w:rsidRPr="00A56066">
        <w:rPr>
          <w:color w:val="000000" w:themeColor="text1"/>
        </w:rPr>
        <w:t xml:space="preserve">Bordes, </w:t>
      </w:r>
      <w:r w:rsidR="000C3DF8" w:rsidRPr="00A56066">
        <w:rPr>
          <w:color w:val="000000" w:themeColor="text1"/>
        </w:rPr>
        <w:t xml:space="preserve">2012) </w:t>
      </w:r>
      <w:r w:rsidR="00FD501E" w:rsidRPr="00A56066">
        <w:rPr>
          <w:color w:val="000000" w:themeColor="text1"/>
        </w:rPr>
        <w:t>pour former d</w:t>
      </w:r>
      <w:r w:rsidR="00720435" w:rsidRPr="00A56066">
        <w:rPr>
          <w:color w:val="000000" w:themeColor="text1"/>
        </w:rPr>
        <w:t xml:space="preserve">es citoyens </w:t>
      </w:r>
      <w:r w:rsidR="002E4F59" w:rsidRPr="00A56066">
        <w:rPr>
          <w:color w:val="000000" w:themeColor="text1"/>
        </w:rPr>
        <w:t>partageant une culture scientifique commune</w:t>
      </w:r>
      <w:r w:rsidR="000C3DF8" w:rsidRPr="00A56066">
        <w:rPr>
          <w:color w:val="000000" w:themeColor="text1"/>
        </w:rPr>
        <w:t xml:space="preserve"> </w:t>
      </w:r>
      <w:r w:rsidR="002E4F59" w:rsidRPr="00A56066">
        <w:rPr>
          <w:color w:val="000000" w:themeColor="text1"/>
        </w:rPr>
        <w:t>et à même de participer, avec un jugement circons</w:t>
      </w:r>
      <w:r w:rsidR="005F6928" w:rsidRPr="00A56066">
        <w:rPr>
          <w:color w:val="000000" w:themeColor="text1"/>
        </w:rPr>
        <w:t xml:space="preserve">tancié, aux débats de </w:t>
      </w:r>
      <w:r w:rsidR="005F6928" w:rsidRPr="00A56066">
        <w:rPr>
          <w:color w:val="000000" w:themeColor="text1"/>
        </w:rPr>
        <w:lastRenderedPageBreak/>
        <w:t xml:space="preserve">société </w:t>
      </w:r>
      <w:r w:rsidR="008B3DC8">
        <w:rPr>
          <w:color w:val="000000" w:themeColor="text1"/>
        </w:rPr>
        <w:t>(</w:t>
      </w:r>
      <w:proofErr w:type="spellStart"/>
      <w:r w:rsidR="008B3DC8">
        <w:rPr>
          <w:color w:val="000000" w:themeColor="text1"/>
        </w:rPr>
        <w:t>Coquidé</w:t>
      </w:r>
      <w:proofErr w:type="spellEnd"/>
      <w:r w:rsidR="00FD501E" w:rsidRPr="00A56066">
        <w:rPr>
          <w:color w:val="000000" w:themeColor="text1"/>
        </w:rPr>
        <w:t xml:space="preserve"> &amp; Cohen, 2016) sur des questions ayant des implications éthiques et politiques.</w:t>
      </w:r>
    </w:p>
    <w:p w14:paraId="1946A89B" w14:textId="77777777" w:rsidR="00F27720" w:rsidRDefault="00F27720" w:rsidP="00ED3B0F">
      <w:pPr>
        <w:ind w:firstLine="708"/>
        <w:jc w:val="both"/>
        <w:rPr>
          <w:color w:val="000000" w:themeColor="text1"/>
        </w:rPr>
      </w:pPr>
    </w:p>
    <w:p w14:paraId="7FCB22E5" w14:textId="574756A4" w:rsidR="0025549B" w:rsidRDefault="00921890" w:rsidP="00C61D06">
      <w:pPr>
        <w:ind w:firstLine="708"/>
        <w:jc w:val="both"/>
        <w:rPr>
          <w:color w:val="000000" w:themeColor="text1"/>
        </w:rPr>
      </w:pPr>
      <w:r w:rsidRPr="00A56066">
        <w:rPr>
          <w:color w:val="000000" w:themeColor="text1"/>
        </w:rPr>
        <w:t xml:space="preserve">Pourtant, dans ce contexte, l’interface </w:t>
      </w:r>
      <w:r w:rsidR="005F6928" w:rsidRPr="00A56066">
        <w:rPr>
          <w:color w:val="000000" w:themeColor="text1"/>
        </w:rPr>
        <w:t>entre éducations formelle et non formelle</w:t>
      </w:r>
      <w:r w:rsidR="002E4F59" w:rsidRPr="00A56066">
        <w:rPr>
          <w:color w:val="000000" w:themeColor="text1"/>
        </w:rPr>
        <w:t xml:space="preserve"> </w:t>
      </w:r>
      <w:r w:rsidR="005F6928" w:rsidRPr="00A56066">
        <w:rPr>
          <w:color w:val="000000" w:themeColor="text1"/>
        </w:rPr>
        <w:t>reste floue. L</w:t>
      </w:r>
      <w:r w:rsidRPr="00A56066">
        <w:rPr>
          <w:color w:val="000000" w:themeColor="text1"/>
        </w:rPr>
        <w:t>a médiation se définie encore so</w:t>
      </w:r>
      <w:r w:rsidR="009A3CAF" w:rsidRPr="00A56066">
        <w:rPr>
          <w:color w:val="000000" w:themeColor="text1"/>
        </w:rPr>
        <w:t>uven</w:t>
      </w:r>
      <w:r w:rsidR="00E76705" w:rsidRPr="00A56066">
        <w:rPr>
          <w:color w:val="000000" w:themeColor="text1"/>
        </w:rPr>
        <w:t>t comme « </w:t>
      </w:r>
      <w:r w:rsidRPr="00A56066">
        <w:rPr>
          <w:color w:val="000000" w:themeColor="text1"/>
        </w:rPr>
        <w:t xml:space="preserve">n’étant pas de l’enseignement » alors que l’école </w:t>
      </w:r>
      <w:r w:rsidR="00FD501E" w:rsidRPr="00A56066">
        <w:rPr>
          <w:color w:val="000000" w:themeColor="text1"/>
        </w:rPr>
        <w:t>tente de scolariser</w:t>
      </w:r>
      <w:r w:rsidR="009A3CAF" w:rsidRPr="00A56066">
        <w:rPr>
          <w:color w:val="000000" w:themeColor="text1"/>
        </w:rPr>
        <w:t xml:space="preserve"> </w:t>
      </w:r>
      <w:r w:rsidR="00EA0D44">
        <w:rPr>
          <w:color w:val="000000" w:themeColor="text1"/>
        </w:rPr>
        <w:t>certaine</w:t>
      </w:r>
      <w:r w:rsidR="009A3CAF" w:rsidRPr="00A56066">
        <w:rPr>
          <w:color w:val="000000" w:themeColor="text1"/>
        </w:rPr>
        <w:t xml:space="preserve">s </w:t>
      </w:r>
      <w:r w:rsidR="00FD501E" w:rsidRPr="00A56066">
        <w:rPr>
          <w:color w:val="000000" w:themeColor="text1"/>
        </w:rPr>
        <w:t>pratiques</w:t>
      </w:r>
      <w:r w:rsidR="009A3CAF" w:rsidRPr="00A56066">
        <w:rPr>
          <w:color w:val="000000" w:themeColor="text1"/>
        </w:rPr>
        <w:t xml:space="preserve"> de médiations </w:t>
      </w:r>
      <w:r w:rsidR="002E4F59" w:rsidRPr="00A56066">
        <w:rPr>
          <w:color w:val="000000" w:themeColor="text1"/>
        </w:rPr>
        <w:t>(</w:t>
      </w:r>
      <w:r w:rsidR="005F6928" w:rsidRPr="00A56066">
        <w:rPr>
          <w:color w:val="000000" w:themeColor="text1"/>
        </w:rPr>
        <w:t>Cohen</w:t>
      </w:r>
      <w:r w:rsidR="00FD501E" w:rsidRPr="00A56066">
        <w:rPr>
          <w:color w:val="000000" w:themeColor="text1"/>
        </w:rPr>
        <w:t xml:space="preserve"> &amp; </w:t>
      </w:r>
      <w:r w:rsidR="0025549B">
        <w:rPr>
          <w:color w:val="000000" w:themeColor="text1"/>
        </w:rPr>
        <w:t>Girault, 1999).</w:t>
      </w:r>
    </w:p>
    <w:p w14:paraId="265547F7" w14:textId="750E6953" w:rsidR="005A0DC3" w:rsidRPr="00A56066" w:rsidRDefault="005A0DC3" w:rsidP="00ED3B0F">
      <w:pPr>
        <w:ind w:firstLine="708"/>
        <w:jc w:val="both"/>
        <w:rPr>
          <w:color w:val="000000" w:themeColor="text1"/>
        </w:rPr>
      </w:pPr>
      <w:r w:rsidRPr="00A56066">
        <w:rPr>
          <w:color w:val="000000" w:themeColor="text1"/>
        </w:rPr>
        <w:t>C’</w:t>
      </w:r>
      <w:r w:rsidR="005F6928" w:rsidRPr="00A56066">
        <w:rPr>
          <w:color w:val="000000" w:themeColor="text1"/>
        </w:rPr>
        <w:t>est à la caractéri</w:t>
      </w:r>
      <w:r w:rsidR="0082365D">
        <w:rPr>
          <w:color w:val="000000" w:themeColor="text1"/>
        </w:rPr>
        <w:t>sation de cette interface que le</w:t>
      </w:r>
      <w:r w:rsidR="005F6928" w:rsidRPr="00A56066">
        <w:rPr>
          <w:color w:val="000000" w:themeColor="text1"/>
        </w:rPr>
        <w:t xml:space="preserve"> </w:t>
      </w:r>
      <w:r w:rsidR="0082365D">
        <w:rPr>
          <w:color w:val="000000" w:themeColor="text1"/>
        </w:rPr>
        <w:t xml:space="preserve">séminaire </w:t>
      </w:r>
      <w:r w:rsidR="005F6928" w:rsidRPr="00A56066">
        <w:rPr>
          <w:color w:val="000000" w:themeColor="text1"/>
        </w:rPr>
        <w:t>s’attache en tentant de pointer ce qui relève spécifiquement de pratiques différenciées ou bien au contraire ce qui est partagé dans le domaine de l’enseignem</w:t>
      </w:r>
      <w:r w:rsidR="00EA0D44">
        <w:rPr>
          <w:color w:val="000000" w:themeColor="text1"/>
        </w:rPr>
        <w:t xml:space="preserve">ent et la médiation : </w:t>
      </w:r>
    </w:p>
    <w:p w14:paraId="26C8501E" w14:textId="7A85E3E1" w:rsidR="00EA0D44" w:rsidRDefault="00FB517C" w:rsidP="00ED3B0F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EA0D44">
        <w:rPr>
          <w:color w:val="000000" w:themeColor="text1"/>
        </w:rPr>
        <w:t>Comment c</w:t>
      </w:r>
      <w:r w:rsidR="005A0DC3" w:rsidRPr="00EA0D44">
        <w:rPr>
          <w:color w:val="000000" w:themeColor="text1"/>
        </w:rPr>
        <w:t>es</w:t>
      </w:r>
      <w:r w:rsidR="005F6928" w:rsidRPr="00EA0D44">
        <w:rPr>
          <w:color w:val="000000" w:themeColor="text1"/>
        </w:rPr>
        <w:t xml:space="preserve"> éléments peuvent-ils nourrir </w:t>
      </w:r>
      <w:r w:rsidR="005A0DC3" w:rsidRPr="00EA0D44">
        <w:rPr>
          <w:color w:val="000000" w:themeColor="text1"/>
        </w:rPr>
        <w:t xml:space="preserve">les pratiques d’enseignement et </w:t>
      </w:r>
      <w:r w:rsidR="00E76705" w:rsidRPr="00EA0D44">
        <w:rPr>
          <w:color w:val="000000" w:themeColor="text1"/>
        </w:rPr>
        <w:t>de</w:t>
      </w:r>
      <w:r w:rsidR="00EA0D44">
        <w:rPr>
          <w:color w:val="000000" w:themeColor="text1"/>
        </w:rPr>
        <w:t xml:space="preserve"> médiation, dans, </w:t>
      </w:r>
      <w:r w:rsidR="005A0DC3" w:rsidRPr="00EA0D44">
        <w:rPr>
          <w:color w:val="000000" w:themeColor="text1"/>
        </w:rPr>
        <w:t xml:space="preserve">ou hors de la classe ? </w:t>
      </w:r>
    </w:p>
    <w:p w14:paraId="68BE8E1C" w14:textId="7D841AB5" w:rsidR="005F6928" w:rsidRPr="00932FC1" w:rsidRDefault="005A0DC3" w:rsidP="00ED3B0F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EA0D44">
        <w:rPr>
          <w:color w:val="000000" w:themeColor="text1"/>
        </w:rPr>
        <w:t xml:space="preserve">Comment penser les interactions entre médiation et enseignement pour une éducation scientifique </w:t>
      </w:r>
      <w:r w:rsidR="00BA272D" w:rsidRPr="00EA0D44">
        <w:rPr>
          <w:color w:val="000000" w:themeColor="text1"/>
        </w:rPr>
        <w:t>arti</w:t>
      </w:r>
      <w:r w:rsidR="00F16B5A" w:rsidRPr="00EA0D44">
        <w:rPr>
          <w:color w:val="000000" w:themeColor="text1"/>
        </w:rPr>
        <w:t>culée a</w:t>
      </w:r>
      <w:r w:rsidR="00FB517C" w:rsidRPr="00EA0D44">
        <w:rPr>
          <w:color w:val="000000" w:themeColor="text1"/>
        </w:rPr>
        <w:t>ux questions de sociétés</w:t>
      </w:r>
      <w:r w:rsidR="00EA0D44">
        <w:rPr>
          <w:color w:val="000000" w:themeColor="text1"/>
        </w:rPr>
        <w:t>,</w:t>
      </w:r>
      <w:r w:rsidR="00FB517C" w:rsidRPr="00EA0D44">
        <w:rPr>
          <w:color w:val="000000" w:themeColor="text1"/>
        </w:rPr>
        <w:t xml:space="preserve"> </w:t>
      </w:r>
      <w:r w:rsidR="00EA0D44">
        <w:rPr>
          <w:color w:val="000000" w:themeColor="text1"/>
        </w:rPr>
        <w:t>comme celles du</w:t>
      </w:r>
      <w:r w:rsidR="00E76705" w:rsidRPr="00EA0D44">
        <w:rPr>
          <w:color w:val="000000" w:themeColor="text1"/>
        </w:rPr>
        <w:t xml:space="preserve"> développement d</w:t>
      </w:r>
      <w:r w:rsidR="00F16B5A" w:rsidRPr="00EA0D44">
        <w:rPr>
          <w:color w:val="000000" w:themeColor="text1"/>
        </w:rPr>
        <w:t>urable</w:t>
      </w:r>
      <w:r w:rsidR="00E76705" w:rsidRPr="00EA0D44">
        <w:rPr>
          <w:color w:val="000000" w:themeColor="text1"/>
        </w:rPr>
        <w:t xml:space="preserve"> </w:t>
      </w:r>
      <w:r w:rsidR="00F16B5A" w:rsidRPr="00932FC1">
        <w:rPr>
          <w:color w:val="000000" w:themeColor="text1"/>
        </w:rPr>
        <w:t xml:space="preserve">? </w:t>
      </w:r>
    </w:p>
    <w:p w14:paraId="58A3DF3B" w14:textId="77777777" w:rsidR="00932FC1" w:rsidRDefault="00932FC1" w:rsidP="00ED3B0F">
      <w:pPr>
        <w:pStyle w:val="Paragraphedeliste"/>
        <w:numPr>
          <w:ilvl w:val="0"/>
          <w:numId w:val="3"/>
        </w:numPr>
        <w:jc w:val="both"/>
        <w:rPr>
          <w:rFonts w:cs="Arial"/>
          <w:color w:val="000000"/>
        </w:rPr>
      </w:pPr>
      <w:r w:rsidRPr="00932FC1">
        <w:rPr>
          <w:rFonts w:cs="Arial"/>
          <w:color w:val="000000"/>
        </w:rPr>
        <w:t>Comment faire pour que l’interface soit opérationnelle, et prenne la forme et la fonction d’un laboratoire de recherche, à caractère expérimental et innovant</w:t>
      </w:r>
      <w:r>
        <w:rPr>
          <w:rFonts w:cs="Arial"/>
          <w:color w:val="000000"/>
        </w:rPr>
        <w:t xml:space="preserve"> socialement ?</w:t>
      </w:r>
    </w:p>
    <w:p w14:paraId="06CDC150" w14:textId="33D10B26" w:rsidR="005D34CA" w:rsidRPr="001C2FA9" w:rsidRDefault="00932FC1" w:rsidP="00ED3B0F">
      <w:pPr>
        <w:pStyle w:val="Paragraphedeliste"/>
        <w:numPr>
          <w:ilvl w:val="0"/>
          <w:numId w:val="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Quelles </w:t>
      </w:r>
      <w:r w:rsidR="00EA0D44" w:rsidRPr="00932FC1">
        <w:rPr>
          <w:color w:val="000000" w:themeColor="text1"/>
        </w:rPr>
        <w:t>formation</w:t>
      </w:r>
      <w:r>
        <w:rPr>
          <w:color w:val="000000" w:themeColor="text1"/>
        </w:rPr>
        <w:t>s</w:t>
      </w:r>
      <w:r w:rsidR="00EA0D44" w:rsidRPr="00932FC1">
        <w:rPr>
          <w:color w:val="000000" w:themeColor="text1"/>
        </w:rPr>
        <w:t xml:space="preserve"> </w:t>
      </w:r>
      <w:r w:rsidR="00C303BE">
        <w:rPr>
          <w:color w:val="000000" w:themeColor="text1"/>
        </w:rPr>
        <w:t>interprofessionnelles</w:t>
      </w:r>
      <w:r w:rsidR="00EA0D44" w:rsidRPr="00932FC1">
        <w:rPr>
          <w:color w:val="000000" w:themeColor="text1"/>
        </w:rPr>
        <w:t xml:space="preserve"> des enseignants et des médiateurs scientifiques </w:t>
      </w:r>
      <w:r w:rsidR="00C303BE">
        <w:rPr>
          <w:color w:val="000000" w:themeColor="text1"/>
        </w:rPr>
        <w:t xml:space="preserve">sont envisageables, et </w:t>
      </w:r>
      <w:r w:rsidR="00EA0D44" w:rsidRPr="00932FC1">
        <w:rPr>
          <w:color w:val="000000" w:themeColor="text1"/>
        </w:rPr>
        <w:t>autour d</w:t>
      </w:r>
      <w:r w:rsidR="00C303BE">
        <w:rPr>
          <w:color w:val="000000" w:themeColor="text1"/>
        </w:rPr>
        <w:t xml:space="preserve">e quels </w:t>
      </w:r>
      <w:r w:rsidR="00EA0D44" w:rsidRPr="00932FC1">
        <w:rPr>
          <w:color w:val="000000" w:themeColor="text1"/>
        </w:rPr>
        <w:t>objectifs éducatifs partagés</w:t>
      </w:r>
      <w:r w:rsidR="00C303BE">
        <w:rPr>
          <w:color w:val="000000" w:themeColor="text1"/>
        </w:rPr>
        <w:t> ?</w:t>
      </w:r>
    </w:p>
    <w:p w14:paraId="75A571C4" w14:textId="1BB51DD2" w:rsidR="001C2FA9" w:rsidRDefault="001C2FA9" w:rsidP="00ED3B0F">
      <w:pPr>
        <w:jc w:val="both"/>
        <w:rPr>
          <w:rFonts w:cs="Arial"/>
          <w:color w:val="000000"/>
        </w:rPr>
      </w:pPr>
    </w:p>
    <w:p w14:paraId="0E45BB49" w14:textId="2FC103DC" w:rsidR="001C2FA9" w:rsidRPr="001C2FA9" w:rsidRDefault="005407BC" w:rsidP="00ED3B0F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Bibliographie indicative </w:t>
      </w:r>
      <w:r w:rsidR="001C2FA9">
        <w:rPr>
          <w:rFonts w:cs="Arial"/>
          <w:color w:val="000000"/>
        </w:rPr>
        <w:t xml:space="preserve">: </w:t>
      </w:r>
    </w:p>
    <w:p w14:paraId="14F299C9" w14:textId="77777777" w:rsidR="00712CA8" w:rsidRPr="00712CA8" w:rsidRDefault="00712CA8" w:rsidP="00ED3B0F">
      <w:pPr>
        <w:jc w:val="both"/>
        <w:rPr>
          <w:color w:val="000000" w:themeColor="text1"/>
        </w:rPr>
      </w:pPr>
    </w:p>
    <w:p w14:paraId="79D9F08E" w14:textId="02C1AA7D" w:rsidR="007762CD" w:rsidRPr="005D1A8C" w:rsidRDefault="007762CD" w:rsidP="00ED3B0F">
      <w:pPr>
        <w:pStyle w:val="Paragraphedeliste"/>
        <w:numPr>
          <w:ilvl w:val="0"/>
          <w:numId w:val="6"/>
        </w:numPr>
        <w:ind w:left="1077" w:hanging="357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</w:pPr>
      <w:proofErr w:type="gramStart"/>
      <w:r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>Bo</w:t>
      </w:r>
      <w:r w:rsidR="0010335E"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>r</w:t>
      </w:r>
      <w:r w:rsidR="0025549B"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>des</w:t>
      </w:r>
      <w:proofErr w:type="gramEnd"/>
      <w:r w:rsidR="0025549B"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>, V.</w:t>
      </w:r>
      <w:r w:rsidR="0025549B"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 xml:space="preserve"> </w:t>
      </w:r>
      <w:r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>(2012). </w:t>
      </w:r>
      <w:r w:rsidR="0025549B"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>L’éducation non formelle</w:t>
      </w:r>
      <w:r w:rsidR="00A56066"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 xml:space="preserve">. </w:t>
      </w:r>
      <w:r w:rsidR="0025549B" w:rsidRPr="005D1A8C">
        <w:rPr>
          <w:rFonts w:eastAsia="Times New Roman" w:cs="Times New Roman"/>
          <w:bCs/>
          <w:i/>
          <w:color w:val="000000" w:themeColor="text1"/>
          <w:kern w:val="36"/>
          <w:sz w:val="22"/>
          <w:szCs w:val="22"/>
        </w:rPr>
        <w:t xml:space="preserve">Les </w:t>
      </w:r>
      <w:r w:rsidR="00A56066" w:rsidRPr="005D1A8C">
        <w:rPr>
          <w:rFonts w:eastAsia="Times New Roman" w:cs="Times New Roman"/>
          <w:bCs/>
          <w:i/>
          <w:color w:val="000000" w:themeColor="text1"/>
          <w:kern w:val="36"/>
          <w:sz w:val="22"/>
          <w:szCs w:val="22"/>
        </w:rPr>
        <w:t>Dossi</w:t>
      </w:r>
      <w:r w:rsidR="0025549B" w:rsidRPr="005D1A8C">
        <w:rPr>
          <w:rFonts w:eastAsia="Times New Roman" w:cs="Times New Roman"/>
          <w:bCs/>
          <w:i/>
          <w:color w:val="000000" w:themeColor="text1"/>
          <w:kern w:val="36"/>
          <w:sz w:val="22"/>
          <w:szCs w:val="22"/>
        </w:rPr>
        <w:t>ers des sciences de l’éducation</w:t>
      </w:r>
      <w:r w:rsidR="0025549B"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>, 28, 7-11.</w:t>
      </w:r>
    </w:p>
    <w:p w14:paraId="1EF3428C" w14:textId="2375E8E8" w:rsidR="0010335E" w:rsidRPr="005D1A8C" w:rsidRDefault="0010335E" w:rsidP="00ED3B0F">
      <w:pPr>
        <w:pStyle w:val="Paragraphedeliste"/>
        <w:numPr>
          <w:ilvl w:val="0"/>
          <w:numId w:val="6"/>
        </w:numPr>
        <w:ind w:left="1077" w:hanging="357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</w:pPr>
      <w:r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>Cohen-Azria</w:t>
      </w:r>
      <w:r w:rsidR="0025549B"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>,</w:t>
      </w:r>
      <w:r w:rsidR="00BE2042"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 xml:space="preserve"> C.</w:t>
      </w:r>
      <w:r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 xml:space="preserve"> &amp; </w:t>
      </w:r>
      <w:proofErr w:type="spellStart"/>
      <w:r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>Coquidé</w:t>
      </w:r>
      <w:proofErr w:type="spellEnd"/>
      <w:r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>, C.</w:t>
      </w:r>
      <w:r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 xml:space="preserve"> </w:t>
      </w:r>
      <w:r w:rsidR="00E73F98"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>(</w:t>
      </w:r>
      <w:proofErr w:type="spellStart"/>
      <w:r w:rsidR="00E73F98"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>dir</w:t>
      </w:r>
      <w:proofErr w:type="spellEnd"/>
      <w:r w:rsidR="00E73F98"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 xml:space="preserve">.) </w:t>
      </w:r>
      <w:r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 xml:space="preserve">(2016). Recherches sur l’école et ses partenaires scientifiques. </w:t>
      </w:r>
      <w:r w:rsidRPr="005D1A8C">
        <w:rPr>
          <w:rFonts w:eastAsia="Times New Roman" w:cs="Times New Roman"/>
          <w:bCs/>
          <w:i/>
          <w:color w:val="000000" w:themeColor="text1"/>
          <w:kern w:val="36"/>
          <w:sz w:val="22"/>
          <w:szCs w:val="22"/>
        </w:rPr>
        <w:t>Recherches en didactiques des sciences et des technologies</w:t>
      </w:r>
      <w:r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 xml:space="preserve">, 13. </w:t>
      </w:r>
    </w:p>
    <w:p w14:paraId="7D74C48D" w14:textId="003199D7" w:rsidR="001C2FA9" w:rsidRPr="005D1A8C" w:rsidRDefault="001C2FA9" w:rsidP="00ED3B0F">
      <w:pPr>
        <w:pStyle w:val="Paragraphedeliste"/>
        <w:numPr>
          <w:ilvl w:val="0"/>
          <w:numId w:val="6"/>
        </w:numPr>
        <w:ind w:left="1077" w:hanging="357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</w:pPr>
      <w:r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 xml:space="preserve">Garnier, B. </w:t>
      </w:r>
      <w:r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>(</w:t>
      </w:r>
      <w:proofErr w:type="spellStart"/>
      <w:r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>dir</w:t>
      </w:r>
      <w:proofErr w:type="spellEnd"/>
      <w:r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 xml:space="preserve">.) </w:t>
      </w:r>
      <w:r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>(2018)</w:t>
      </w:r>
      <w:r w:rsidRPr="005D1A8C">
        <w:rPr>
          <w:color w:val="323232"/>
          <w:sz w:val="22"/>
          <w:szCs w:val="22"/>
          <w:shd w:val="clear" w:color="auto" w:fill="FFFFFF"/>
        </w:rPr>
        <w:t xml:space="preserve">. L’éducation informelle contre la forme scolaire ? </w:t>
      </w:r>
      <w:r w:rsidRPr="005D1A8C">
        <w:rPr>
          <w:i/>
          <w:iCs/>
          <w:color w:val="323232"/>
          <w:sz w:val="22"/>
          <w:szCs w:val="22"/>
        </w:rPr>
        <w:t>Carrefours de l'éducation</w:t>
      </w:r>
      <w:r w:rsidRPr="005D1A8C">
        <w:rPr>
          <w:color w:val="323232"/>
          <w:sz w:val="22"/>
          <w:szCs w:val="22"/>
          <w:shd w:val="clear" w:color="auto" w:fill="FFFFFF"/>
        </w:rPr>
        <w:t>, 45,</w:t>
      </w:r>
      <w:r w:rsidR="005D1A8C">
        <w:rPr>
          <w:color w:val="323232"/>
          <w:sz w:val="22"/>
          <w:szCs w:val="22"/>
          <w:shd w:val="clear" w:color="auto" w:fill="FFFFFF"/>
        </w:rPr>
        <w:t xml:space="preserve"> </w:t>
      </w:r>
      <w:r w:rsidRPr="005D1A8C">
        <w:rPr>
          <w:color w:val="323232"/>
          <w:sz w:val="22"/>
          <w:szCs w:val="22"/>
          <w:shd w:val="clear" w:color="auto" w:fill="FFFFFF"/>
        </w:rPr>
        <w:t>(1).</w:t>
      </w:r>
    </w:p>
    <w:p w14:paraId="0AFECA1E" w14:textId="2A411C9B" w:rsidR="007762CD" w:rsidRPr="005D1A8C" w:rsidRDefault="007762CD" w:rsidP="00ED3B0F">
      <w:pPr>
        <w:pStyle w:val="Paragraphedeliste"/>
        <w:numPr>
          <w:ilvl w:val="0"/>
          <w:numId w:val="6"/>
        </w:numPr>
        <w:ind w:left="1077" w:hanging="357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</w:pPr>
      <w:r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>Girault, Y. &amp; Cohen, C.</w:t>
      </w:r>
      <w:r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 xml:space="preserve"> (1999). Quelques repères historiques sur le partenariat école-musée ou quarante ans de prémices tombées dans l'oubli. </w:t>
      </w:r>
      <w:r w:rsidRPr="005D1A8C">
        <w:rPr>
          <w:rFonts w:eastAsia="Times New Roman" w:cs="Times New Roman"/>
          <w:bCs/>
          <w:i/>
          <w:color w:val="000000" w:themeColor="text1"/>
          <w:kern w:val="36"/>
          <w:sz w:val="22"/>
          <w:szCs w:val="22"/>
        </w:rPr>
        <w:t>Aster</w:t>
      </w:r>
      <w:r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>, 29, 9-26.</w:t>
      </w:r>
    </w:p>
    <w:p w14:paraId="1AB7345E" w14:textId="4FC22D5D" w:rsidR="001036E6" w:rsidRDefault="007762CD" w:rsidP="00ED3B0F">
      <w:pPr>
        <w:pStyle w:val="Paragraphedeliste"/>
        <w:numPr>
          <w:ilvl w:val="0"/>
          <w:numId w:val="6"/>
        </w:numPr>
        <w:ind w:left="1077" w:hanging="357"/>
        <w:jc w:val="both"/>
        <w:outlineLvl w:val="0"/>
        <w:rPr>
          <w:color w:val="000000" w:themeColor="text1"/>
          <w:sz w:val="22"/>
          <w:szCs w:val="22"/>
        </w:rPr>
      </w:pPr>
      <w:r w:rsidRPr="005D1A8C">
        <w:rPr>
          <w:rFonts w:eastAsia="Times New Roman" w:cs="Times New Roman"/>
          <w:b/>
          <w:bCs/>
          <w:color w:val="000000" w:themeColor="text1"/>
          <w:kern w:val="36"/>
          <w:sz w:val="22"/>
          <w:szCs w:val="22"/>
        </w:rPr>
        <w:t>Ministère de l’Enseignement supérieur, de la Recherche et de l’Innovation</w:t>
      </w:r>
      <w:r w:rsidRPr="005D1A8C">
        <w:rPr>
          <w:rFonts w:eastAsia="Times New Roman" w:cs="Times New Roman"/>
          <w:bCs/>
          <w:color w:val="000000" w:themeColor="text1"/>
          <w:kern w:val="36"/>
          <w:sz w:val="22"/>
          <w:szCs w:val="22"/>
        </w:rPr>
        <w:t xml:space="preserve"> (2017). </w:t>
      </w:r>
      <w:r w:rsidRPr="005D1A8C">
        <w:rPr>
          <w:rFonts w:eastAsia="Times New Roman" w:cs="Times New Roman"/>
          <w:bCs/>
          <w:i/>
          <w:color w:val="000000" w:themeColor="text1"/>
          <w:kern w:val="36"/>
          <w:sz w:val="22"/>
          <w:szCs w:val="22"/>
        </w:rPr>
        <w:t>La stratégie nationale de culture scientifique, technique et industrielle</w:t>
      </w:r>
      <w:r w:rsidR="005D1A8C" w:rsidRPr="005D1A8C">
        <w:rPr>
          <w:color w:val="000000" w:themeColor="text1"/>
          <w:sz w:val="22"/>
          <w:szCs w:val="22"/>
        </w:rPr>
        <w:t>. Consultable en ligne.</w:t>
      </w:r>
    </w:p>
    <w:p w14:paraId="143ED1C4" w14:textId="77777777" w:rsidR="005407BC" w:rsidRDefault="005407BC" w:rsidP="005407BC">
      <w:pPr>
        <w:jc w:val="both"/>
        <w:outlineLvl w:val="0"/>
        <w:rPr>
          <w:color w:val="000000" w:themeColor="text1"/>
          <w:sz w:val="22"/>
          <w:szCs w:val="22"/>
        </w:rPr>
      </w:pPr>
    </w:p>
    <w:p w14:paraId="490205E6" w14:textId="77777777" w:rsidR="005407BC" w:rsidRDefault="005407BC" w:rsidP="005407BC">
      <w:pPr>
        <w:jc w:val="both"/>
        <w:outlineLvl w:val="0"/>
        <w:rPr>
          <w:color w:val="000000" w:themeColor="text1"/>
          <w:sz w:val="22"/>
          <w:szCs w:val="22"/>
        </w:rPr>
      </w:pPr>
    </w:p>
    <w:p w14:paraId="6DA91D25" w14:textId="77777777" w:rsidR="005407BC" w:rsidRDefault="005407BC" w:rsidP="005407BC">
      <w:pPr>
        <w:jc w:val="both"/>
        <w:outlineLvl w:val="0"/>
        <w:rPr>
          <w:color w:val="000000" w:themeColor="text1"/>
          <w:sz w:val="22"/>
          <w:szCs w:val="22"/>
        </w:rPr>
      </w:pPr>
    </w:p>
    <w:p w14:paraId="0BD0176B" w14:textId="77777777" w:rsidR="005407BC" w:rsidRDefault="005407BC" w:rsidP="005407BC">
      <w:pPr>
        <w:jc w:val="both"/>
        <w:outlineLvl w:val="0"/>
        <w:rPr>
          <w:color w:val="000000" w:themeColor="text1"/>
          <w:sz w:val="22"/>
          <w:szCs w:val="22"/>
        </w:rPr>
      </w:pPr>
    </w:p>
    <w:p w14:paraId="491F2AD4" w14:textId="77777777" w:rsidR="005407BC" w:rsidRDefault="005407BC" w:rsidP="005407BC">
      <w:pPr>
        <w:jc w:val="both"/>
        <w:outlineLvl w:val="0"/>
        <w:rPr>
          <w:color w:val="000000" w:themeColor="text1"/>
          <w:sz w:val="22"/>
          <w:szCs w:val="22"/>
        </w:rPr>
      </w:pPr>
    </w:p>
    <w:p w14:paraId="4BBAE161" w14:textId="77777777" w:rsidR="005407BC" w:rsidRDefault="005407BC" w:rsidP="005407BC">
      <w:pPr>
        <w:jc w:val="both"/>
        <w:outlineLvl w:val="0"/>
        <w:rPr>
          <w:color w:val="000000" w:themeColor="text1"/>
          <w:sz w:val="22"/>
          <w:szCs w:val="22"/>
        </w:rPr>
      </w:pPr>
    </w:p>
    <w:p w14:paraId="5B652253" w14:textId="77777777" w:rsidR="005407BC" w:rsidRPr="005407BC" w:rsidRDefault="005407BC" w:rsidP="005407BC">
      <w:pPr>
        <w:jc w:val="both"/>
        <w:outlineLvl w:val="0"/>
        <w:rPr>
          <w:color w:val="000000" w:themeColor="text1"/>
          <w:sz w:val="22"/>
          <w:szCs w:val="22"/>
        </w:rPr>
      </w:pPr>
    </w:p>
    <w:p w14:paraId="68CF1A8A" w14:textId="77777777" w:rsidR="005407BC" w:rsidRPr="005407BC" w:rsidRDefault="005407BC" w:rsidP="005407BC">
      <w:pPr>
        <w:jc w:val="both"/>
        <w:outlineLvl w:val="0"/>
        <w:rPr>
          <w:color w:val="000000" w:themeColor="text1"/>
          <w:sz w:val="22"/>
          <w:szCs w:val="22"/>
        </w:rPr>
      </w:pPr>
    </w:p>
    <w:p w14:paraId="3547A66D" w14:textId="52A727F0" w:rsidR="00C61D06" w:rsidRPr="00C61D06" w:rsidRDefault="00C61D06" w:rsidP="00C61D06">
      <w:pPr>
        <w:jc w:val="both"/>
        <w:outlineLvl w:val="0"/>
        <w:rPr>
          <w:color w:val="000000" w:themeColor="text1"/>
          <w:sz w:val="22"/>
          <w:szCs w:val="22"/>
        </w:rPr>
      </w:pPr>
      <w:r w:rsidRPr="001036E6">
        <w:rPr>
          <w:noProof/>
        </w:rPr>
        <w:drawing>
          <wp:inline distT="0" distB="0" distL="0" distR="0" wp14:anchorId="0B4BF297" wp14:editId="7BA634D0">
            <wp:extent cx="1126178" cy="76690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7266" cy="79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7BC" w:rsidRPr="001036E6">
        <w:rPr>
          <w:noProof/>
        </w:rPr>
        <w:drawing>
          <wp:inline distT="0" distB="0" distL="0" distR="0" wp14:anchorId="53E544E7" wp14:editId="1D914349">
            <wp:extent cx="1242867" cy="868045"/>
            <wp:effectExtent l="0" t="0" r="1905" b="0"/>
            <wp:docPr id="3" name="Image 3" descr="aculté d'Education de l'académie de Montpellier - Université de Mont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ulté d'Education de l'académie de Montpellier - Université de Montp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22" cy="8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7BC" w:rsidRPr="001036E6">
        <w:rPr>
          <w:noProof/>
        </w:rPr>
        <w:drawing>
          <wp:inline distT="0" distB="0" distL="0" distR="0" wp14:anchorId="71B409F6" wp14:editId="22EF122A">
            <wp:extent cx="1019719" cy="918587"/>
            <wp:effectExtent l="0" t="0" r="0" b="0"/>
            <wp:docPr id="4" name="Image 4" descr="niversité de Montpell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versité de Montpellier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96" cy="93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D06" w:rsidRPr="00C61D06" w:rsidSect="0083698C">
      <w:footerReference w:type="defaul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F2F10" w14:textId="77777777" w:rsidR="0011685A" w:rsidRDefault="0011685A" w:rsidP="0083698C">
      <w:r>
        <w:separator/>
      </w:r>
    </w:p>
  </w:endnote>
  <w:endnote w:type="continuationSeparator" w:id="0">
    <w:p w14:paraId="42E16750" w14:textId="77777777" w:rsidR="0011685A" w:rsidRDefault="0011685A" w:rsidP="0083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FranklinGothic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971DB" w14:textId="32193F05" w:rsidR="0011685A" w:rsidRPr="0083698C" w:rsidRDefault="0011685A">
    <w:pPr>
      <w:pStyle w:val="Pieddepage"/>
      <w:jc w:val="center"/>
      <w:rPr>
        <w:caps/>
        <w:color w:val="4F81BD" w:themeColor="accent1"/>
        <w:sz w:val="18"/>
        <w:szCs w:val="18"/>
      </w:rPr>
    </w:pPr>
    <w:r w:rsidRPr="0083698C">
      <w:rPr>
        <w:caps/>
        <w:color w:val="4F81BD" w:themeColor="accent1"/>
        <w:sz w:val="18"/>
        <w:szCs w:val="18"/>
      </w:rPr>
      <w:fldChar w:fldCharType="begin"/>
    </w:r>
    <w:r w:rsidRPr="0083698C">
      <w:rPr>
        <w:caps/>
        <w:color w:val="4F81BD" w:themeColor="accent1"/>
        <w:sz w:val="18"/>
        <w:szCs w:val="18"/>
      </w:rPr>
      <w:instrText>PAGE   \* MERGEFORMAT</w:instrText>
    </w:r>
    <w:r w:rsidRPr="0083698C">
      <w:rPr>
        <w:caps/>
        <w:color w:val="4F81BD" w:themeColor="accent1"/>
        <w:sz w:val="18"/>
        <w:szCs w:val="18"/>
      </w:rPr>
      <w:fldChar w:fldCharType="separate"/>
    </w:r>
    <w:r w:rsidR="00440296">
      <w:rPr>
        <w:caps/>
        <w:noProof/>
        <w:color w:val="4F81BD" w:themeColor="accent1"/>
        <w:sz w:val="18"/>
        <w:szCs w:val="18"/>
      </w:rPr>
      <w:t>1</w:t>
    </w:r>
    <w:r w:rsidRPr="0083698C">
      <w:rPr>
        <w:caps/>
        <w:color w:val="4F81BD" w:themeColor="accent1"/>
        <w:sz w:val="18"/>
        <w:szCs w:val="18"/>
      </w:rPr>
      <w:fldChar w:fldCharType="end"/>
    </w:r>
    <w:r>
      <w:rPr>
        <w:caps/>
        <w:color w:val="4F81BD" w:themeColor="accent1"/>
        <w:sz w:val="18"/>
        <w:szCs w:val="18"/>
      </w:rPr>
      <w:t>/2</w:t>
    </w:r>
  </w:p>
  <w:p w14:paraId="48952D92" w14:textId="77777777" w:rsidR="0011685A" w:rsidRDefault="0011685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2CB65" w14:textId="77777777" w:rsidR="0011685A" w:rsidRDefault="0011685A" w:rsidP="0083698C">
      <w:r>
        <w:separator/>
      </w:r>
    </w:p>
  </w:footnote>
  <w:footnote w:type="continuationSeparator" w:id="0">
    <w:p w14:paraId="7B5E1BDE" w14:textId="77777777" w:rsidR="0011685A" w:rsidRDefault="0011685A" w:rsidP="0083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5743"/>
    <w:multiLevelType w:val="hybridMultilevel"/>
    <w:tmpl w:val="C8BA0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2691B"/>
    <w:multiLevelType w:val="multilevel"/>
    <w:tmpl w:val="FFDA1B6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44EB1C20"/>
    <w:multiLevelType w:val="hybridMultilevel"/>
    <w:tmpl w:val="7AEE8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13B80"/>
    <w:multiLevelType w:val="hybridMultilevel"/>
    <w:tmpl w:val="CF906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65E3F"/>
    <w:multiLevelType w:val="hybridMultilevel"/>
    <w:tmpl w:val="1EC4C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85439"/>
    <w:multiLevelType w:val="hybridMultilevel"/>
    <w:tmpl w:val="89F2A1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2C"/>
    <w:rsid w:val="000245C9"/>
    <w:rsid w:val="000B6102"/>
    <w:rsid w:val="000C3DF8"/>
    <w:rsid w:val="000D2F42"/>
    <w:rsid w:val="0010335E"/>
    <w:rsid w:val="001036E6"/>
    <w:rsid w:val="0011685A"/>
    <w:rsid w:val="00177B01"/>
    <w:rsid w:val="001B7A6F"/>
    <w:rsid w:val="001C2FA9"/>
    <w:rsid w:val="001F7130"/>
    <w:rsid w:val="00251063"/>
    <w:rsid w:val="0025549B"/>
    <w:rsid w:val="002E4F59"/>
    <w:rsid w:val="00303627"/>
    <w:rsid w:val="003C5EA5"/>
    <w:rsid w:val="00415D9B"/>
    <w:rsid w:val="004353CE"/>
    <w:rsid w:val="00440296"/>
    <w:rsid w:val="00491C27"/>
    <w:rsid w:val="004E0D58"/>
    <w:rsid w:val="004F13E9"/>
    <w:rsid w:val="00526DBF"/>
    <w:rsid w:val="005407BC"/>
    <w:rsid w:val="005A0DC3"/>
    <w:rsid w:val="005D1A8C"/>
    <w:rsid w:val="005D34CA"/>
    <w:rsid w:val="005D382E"/>
    <w:rsid w:val="005F6928"/>
    <w:rsid w:val="0064250F"/>
    <w:rsid w:val="00692946"/>
    <w:rsid w:val="006B13EC"/>
    <w:rsid w:val="00712CA8"/>
    <w:rsid w:val="00720435"/>
    <w:rsid w:val="0073736E"/>
    <w:rsid w:val="007762CD"/>
    <w:rsid w:val="007A352C"/>
    <w:rsid w:val="0082365D"/>
    <w:rsid w:val="0083698C"/>
    <w:rsid w:val="008516D5"/>
    <w:rsid w:val="008641B7"/>
    <w:rsid w:val="008B3DC8"/>
    <w:rsid w:val="008E53EC"/>
    <w:rsid w:val="00921890"/>
    <w:rsid w:val="00932FC1"/>
    <w:rsid w:val="009516D6"/>
    <w:rsid w:val="00970981"/>
    <w:rsid w:val="009A3CAF"/>
    <w:rsid w:val="009C7B13"/>
    <w:rsid w:val="00A116E6"/>
    <w:rsid w:val="00A40564"/>
    <w:rsid w:val="00A530C6"/>
    <w:rsid w:val="00A56066"/>
    <w:rsid w:val="00A94D77"/>
    <w:rsid w:val="00AD4B15"/>
    <w:rsid w:val="00BA272D"/>
    <w:rsid w:val="00BA73E4"/>
    <w:rsid w:val="00BE2042"/>
    <w:rsid w:val="00C303BE"/>
    <w:rsid w:val="00C61D06"/>
    <w:rsid w:val="00DD3BEE"/>
    <w:rsid w:val="00E347DA"/>
    <w:rsid w:val="00E73F98"/>
    <w:rsid w:val="00E76705"/>
    <w:rsid w:val="00EA0D44"/>
    <w:rsid w:val="00EC59E4"/>
    <w:rsid w:val="00ED3B0F"/>
    <w:rsid w:val="00F16B5A"/>
    <w:rsid w:val="00F27720"/>
    <w:rsid w:val="00F46F2C"/>
    <w:rsid w:val="00FB517C"/>
    <w:rsid w:val="00FC3085"/>
    <w:rsid w:val="00FD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97C7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762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30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62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7762C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762CD"/>
    <w:rPr>
      <w:color w:val="808080"/>
      <w:shd w:val="clear" w:color="auto" w:fill="E6E6E6"/>
    </w:rPr>
  </w:style>
  <w:style w:type="character" w:customStyle="1" w:styleId="st">
    <w:name w:val="st"/>
    <w:basedOn w:val="Policepardfaut"/>
    <w:rsid w:val="007762CD"/>
  </w:style>
  <w:style w:type="paragraph" w:styleId="Textedebulles">
    <w:name w:val="Balloon Text"/>
    <w:basedOn w:val="Normal"/>
    <w:link w:val="TextedebullesCar"/>
    <w:uiPriority w:val="99"/>
    <w:semiHidden/>
    <w:unhideWhenUsed/>
    <w:rsid w:val="00526DBF"/>
    <w:rPr>
      <w:rFonts w:ascii="Helvetica" w:hAnsi="Helvetic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DBF"/>
    <w:rPr>
      <w:rFonts w:ascii="Helvetica" w:hAnsi="Helvetica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FC30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arquedannotation">
    <w:name w:val="annotation reference"/>
    <w:basedOn w:val="Policepardfaut"/>
    <w:uiPriority w:val="99"/>
    <w:semiHidden/>
    <w:unhideWhenUsed/>
    <w:rsid w:val="008641B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41B7"/>
  </w:style>
  <w:style w:type="character" w:customStyle="1" w:styleId="CommentaireCar">
    <w:name w:val="Commentaire Car"/>
    <w:basedOn w:val="Policepardfaut"/>
    <w:link w:val="Commentaire"/>
    <w:uiPriority w:val="99"/>
    <w:semiHidden/>
    <w:rsid w:val="008641B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41B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41B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C5EA5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1036E6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rsid w:val="00F46F2C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8369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98C"/>
  </w:style>
  <w:style w:type="paragraph" w:styleId="Pieddepage">
    <w:name w:val="footer"/>
    <w:basedOn w:val="Normal"/>
    <w:link w:val="PieddepageCar"/>
    <w:uiPriority w:val="99"/>
    <w:unhideWhenUsed/>
    <w:rsid w:val="008369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98C"/>
  </w:style>
  <w:style w:type="character" w:customStyle="1" w:styleId="uppercase">
    <w:name w:val="uppercase"/>
    <w:basedOn w:val="Policepardfaut"/>
    <w:rsid w:val="001C2F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762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30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62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7762C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762CD"/>
    <w:rPr>
      <w:color w:val="808080"/>
      <w:shd w:val="clear" w:color="auto" w:fill="E6E6E6"/>
    </w:rPr>
  </w:style>
  <w:style w:type="character" w:customStyle="1" w:styleId="st">
    <w:name w:val="st"/>
    <w:basedOn w:val="Policepardfaut"/>
    <w:rsid w:val="007762CD"/>
  </w:style>
  <w:style w:type="paragraph" w:styleId="Textedebulles">
    <w:name w:val="Balloon Text"/>
    <w:basedOn w:val="Normal"/>
    <w:link w:val="TextedebullesCar"/>
    <w:uiPriority w:val="99"/>
    <w:semiHidden/>
    <w:unhideWhenUsed/>
    <w:rsid w:val="00526DBF"/>
    <w:rPr>
      <w:rFonts w:ascii="Helvetica" w:hAnsi="Helvetic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DBF"/>
    <w:rPr>
      <w:rFonts w:ascii="Helvetica" w:hAnsi="Helvetica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FC30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arquedannotation">
    <w:name w:val="annotation reference"/>
    <w:basedOn w:val="Policepardfaut"/>
    <w:uiPriority w:val="99"/>
    <w:semiHidden/>
    <w:unhideWhenUsed/>
    <w:rsid w:val="008641B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41B7"/>
  </w:style>
  <w:style w:type="character" w:customStyle="1" w:styleId="CommentaireCar">
    <w:name w:val="Commentaire Car"/>
    <w:basedOn w:val="Policepardfaut"/>
    <w:link w:val="Commentaire"/>
    <w:uiPriority w:val="99"/>
    <w:semiHidden/>
    <w:rsid w:val="008641B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41B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41B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C5EA5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1036E6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rsid w:val="00F46F2C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8369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98C"/>
  </w:style>
  <w:style w:type="paragraph" w:styleId="Pieddepage">
    <w:name w:val="footer"/>
    <w:basedOn w:val="Normal"/>
    <w:link w:val="PieddepageCar"/>
    <w:uiPriority w:val="99"/>
    <w:unhideWhenUsed/>
    <w:rsid w:val="008369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98C"/>
  </w:style>
  <w:style w:type="character" w:customStyle="1" w:styleId="uppercase">
    <w:name w:val="uppercase"/>
    <w:basedOn w:val="Policepardfaut"/>
    <w:rsid w:val="001C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gif"/><Relationship Id="rId12" Type="http://schemas.openxmlformats.org/officeDocument/2006/relationships/image" Target="media/image3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enoit.Urgelli@univ-lyon2.fr" TargetMode="External"/><Relationship Id="rId9" Type="http://schemas.openxmlformats.org/officeDocument/2006/relationships/hyperlink" Target="mailto:Muriel.Guedj@umontpellier.fr" TargetMode="External"/><Relationship Id="rId10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3515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</dc:creator>
  <cp:keywords/>
  <dc:description/>
  <cp:lastModifiedBy>Muriel</cp:lastModifiedBy>
  <cp:revision>3</cp:revision>
  <cp:lastPrinted>2018-02-14T17:57:00Z</cp:lastPrinted>
  <dcterms:created xsi:type="dcterms:W3CDTF">2019-03-10T18:35:00Z</dcterms:created>
  <dcterms:modified xsi:type="dcterms:W3CDTF">2019-03-10T18:36:00Z</dcterms:modified>
</cp:coreProperties>
</file>